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3B84CC" w14:textId="77777777" w:rsidR="008F128A" w:rsidRDefault="00000000">
      <w:pPr>
        <w:spacing w:before="600" w:after="60"/>
      </w:pPr>
      <w:r>
        <w:rPr>
          <w:rFonts w:ascii="Calibri" w:eastAsia="Calibri" w:hAnsi="Calibri" w:cs="Calibri"/>
          <w:b/>
          <w:bCs/>
          <w:color w:val="3502A8"/>
          <w:spacing w:val="40"/>
        </w:rPr>
        <w:t>CARNIVAL ECONOMY LAB</w:t>
      </w:r>
    </w:p>
    <w:p w14:paraId="356277C7" w14:textId="77777777" w:rsidR="008F128A" w:rsidRDefault="00000000">
      <w:pPr>
        <w:spacing w:after="1800"/>
      </w:pPr>
      <w:r>
        <w:rPr>
          <w:rFonts w:ascii="Calibri" w:eastAsia="Calibri" w:hAnsi="Calibri" w:cs="Calibri"/>
          <w:color w:val="5F5F6B"/>
          <w:sz w:val="20"/>
          <w:szCs w:val="20"/>
        </w:rPr>
        <w:t>Série Blueprints · CEL-BP-001</w:t>
      </w:r>
    </w:p>
    <w:p w14:paraId="1D99D5E7" w14:textId="77777777" w:rsidR="008F128A" w:rsidRDefault="008F128A">
      <w:pPr>
        <w:pBdr>
          <w:top w:val="single" w:sz="18" w:space="12" w:color="3502A8"/>
        </w:pBdr>
        <w:spacing w:after="240"/>
      </w:pPr>
    </w:p>
    <w:p w14:paraId="31AFB2C5" w14:textId="77777777" w:rsidR="008F128A" w:rsidRDefault="00000000">
      <w:pPr>
        <w:spacing w:after="240"/>
      </w:pPr>
      <w:r>
        <w:rPr>
          <w:b/>
          <w:bCs/>
          <w:sz w:val="60"/>
          <w:szCs w:val="60"/>
        </w:rPr>
        <w:t>L'économie derrière le défilé</w:t>
      </w:r>
    </w:p>
    <w:p w14:paraId="3C69FDB8" w14:textId="77777777" w:rsidR="008F128A" w:rsidRDefault="00000000">
      <w:pPr>
        <w:spacing w:after="600"/>
      </w:pPr>
      <w:r>
        <w:rPr>
          <w:i/>
          <w:iCs/>
          <w:color w:val="5F5F6B"/>
          <w:sz w:val="32"/>
          <w:szCs w:val="32"/>
        </w:rPr>
        <w:t>Diagnostic institutionnel du carnaval de Jacmel et architecture du Blueprint 2027</w:t>
      </w:r>
    </w:p>
    <w:p w14:paraId="493740A1" w14:textId="77777777" w:rsidR="008F128A" w:rsidRDefault="00000000">
      <w:pPr>
        <w:spacing w:after="80"/>
      </w:pPr>
      <w:r>
        <w:rPr>
          <w:rFonts w:ascii="Calibri" w:eastAsia="Calibri" w:hAnsi="Calibri" w:cs="Calibri"/>
        </w:rPr>
        <w:t>Document de travail · Version 0.1</w:t>
      </w:r>
    </w:p>
    <w:p w14:paraId="67B73096" w14:textId="77777777" w:rsidR="008F128A" w:rsidRDefault="00000000">
      <w:pPr>
        <w:spacing w:after="3200"/>
      </w:pPr>
      <w:r>
        <w:rPr>
          <w:rFonts w:ascii="Calibri" w:eastAsia="Calibri" w:hAnsi="Calibri" w:cs="Calibri"/>
        </w:rPr>
        <w:t>Jacmel, septembre 2026</w:t>
      </w:r>
    </w:p>
    <w:p w14:paraId="79CFCAFF" w14:textId="77777777" w:rsidR="008F128A" w:rsidRDefault="008F128A">
      <w:pPr>
        <w:pBdr>
          <w:top w:val="single" w:sz="4" w:space="8" w:color="B9B2D6"/>
        </w:pBdr>
      </w:pPr>
    </w:p>
    <w:p w14:paraId="33AB970B" w14:textId="77777777" w:rsidR="008F128A" w:rsidRDefault="00000000">
      <w:pPr>
        <w:spacing w:after="40"/>
      </w:pPr>
      <w:r>
        <w:rPr>
          <w:rFonts w:ascii="Calibri" w:eastAsia="Calibri" w:hAnsi="Calibri" w:cs="Calibri"/>
          <w:color w:val="5F5F6B"/>
          <w:sz w:val="18"/>
          <w:szCs w:val="18"/>
        </w:rPr>
        <w:t>Analyse des sessions de la Carnival Economy Week 2026 (24-26 septembre 2026)</w:t>
      </w:r>
    </w:p>
    <w:p w14:paraId="58CE44F4" w14:textId="77777777" w:rsidR="008F128A" w:rsidRDefault="00000000">
      <w:r>
        <w:rPr>
          <w:rFonts w:ascii="Calibri" w:eastAsia="Calibri" w:hAnsi="Calibri" w:cs="Calibri"/>
          <w:color w:val="5F5F6B"/>
          <w:sz w:val="18"/>
          <w:szCs w:val="18"/>
        </w:rPr>
        <w:t>Partenaires : iHaiti · LANS</w:t>
      </w:r>
    </w:p>
    <w:p w14:paraId="7C383B2D" w14:textId="77777777" w:rsidR="008F128A" w:rsidRDefault="00000000">
      <w:r>
        <w:br w:type="page"/>
      </w:r>
    </w:p>
    <w:p w14:paraId="144314D4" w14:textId="77777777" w:rsidR="008F128A" w:rsidRDefault="008F128A">
      <w:pPr>
        <w:sectPr w:rsidR="008F128A">
          <w:headerReference w:type="default" r:id="rId7"/>
          <w:footerReference w:type="default" r:id="rId8"/>
          <w:pgSz w:w="11906" w:h="16838"/>
          <w:pgMar w:top="1418" w:right="1247" w:bottom="1418" w:left="1247" w:header="708" w:footer="708" w:gutter="0"/>
          <w:cols w:space="720"/>
          <w:docGrid w:linePitch="360"/>
        </w:sectPr>
      </w:pPr>
    </w:p>
    <w:p w14:paraId="6C82B6A5" w14:textId="77777777" w:rsidR="008F128A" w:rsidRDefault="00000000">
      <w:pPr>
        <w:pStyle w:val="Titreliminaire"/>
      </w:pPr>
      <w:r>
        <w:lastRenderedPageBreak/>
        <w:t>Notice</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3"/>
        <w:gridCol w:w="6809"/>
      </w:tblGrid>
      <w:tr w:rsidR="008F128A" w14:paraId="5A96EA52" w14:textId="77777777">
        <w:trPr>
          <w:cantSplit/>
          <w:tblHeader/>
        </w:trPr>
        <w:tc>
          <w:tcPr>
            <w:tcW w:w="26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6DA5C988" w14:textId="77777777" w:rsidR="008F128A" w:rsidRDefault="00000000">
            <w:pPr>
              <w:spacing w:line="250" w:lineRule="auto"/>
            </w:pPr>
            <w:r>
              <w:rPr>
                <w:rFonts w:ascii="Calibri" w:eastAsia="Calibri" w:hAnsi="Calibri" w:cs="Calibri"/>
                <w:b/>
                <w:bCs/>
                <w:color w:val="FFFFFF"/>
                <w:sz w:val="17"/>
                <w:szCs w:val="17"/>
              </w:rPr>
              <w:t>Rubrique</w:t>
            </w:r>
          </w:p>
        </w:tc>
        <w:tc>
          <w:tcPr>
            <w:tcW w:w="6809"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0C314E56" w14:textId="77777777" w:rsidR="008F128A" w:rsidRDefault="00000000">
            <w:pPr>
              <w:spacing w:line="250" w:lineRule="auto"/>
            </w:pPr>
            <w:r>
              <w:rPr>
                <w:rFonts w:ascii="Calibri" w:eastAsia="Calibri" w:hAnsi="Calibri" w:cs="Calibri"/>
                <w:b/>
                <w:bCs/>
                <w:color w:val="FFFFFF"/>
                <w:sz w:val="17"/>
                <w:szCs w:val="17"/>
              </w:rPr>
              <w:t>Contenu</w:t>
            </w:r>
          </w:p>
        </w:tc>
      </w:tr>
      <w:tr w:rsidR="008F128A" w14:paraId="562D94B4" w14:textId="77777777">
        <w:trPr>
          <w:cantSplit/>
        </w:trPr>
        <w:tc>
          <w:tcPr>
            <w:tcW w:w="26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AA824A7" w14:textId="77777777" w:rsidR="008F128A" w:rsidRDefault="00000000">
            <w:pPr>
              <w:spacing w:line="250" w:lineRule="auto"/>
            </w:pPr>
            <w:r>
              <w:rPr>
                <w:rFonts w:ascii="Calibri" w:eastAsia="Calibri" w:hAnsi="Calibri" w:cs="Calibri"/>
                <w:sz w:val="17"/>
                <w:szCs w:val="17"/>
              </w:rPr>
              <w:t>Série</w:t>
            </w:r>
          </w:p>
        </w:tc>
        <w:tc>
          <w:tcPr>
            <w:tcW w:w="6809"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F9304D7" w14:textId="77777777" w:rsidR="008F128A" w:rsidRDefault="00000000">
            <w:pPr>
              <w:spacing w:line="250" w:lineRule="auto"/>
            </w:pPr>
            <w:r>
              <w:rPr>
                <w:rFonts w:ascii="Calibri" w:eastAsia="Calibri" w:hAnsi="Calibri" w:cs="Calibri"/>
                <w:sz w:val="17"/>
                <w:szCs w:val="17"/>
              </w:rPr>
              <w:t>Carnival Economy Lab, Blueprints</w:t>
            </w:r>
          </w:p>
        </w:tc>
      </w:tr>
      <w:tr w:rsidR="008F128A" w14:paraId="5DE5A145" w14:textId="77777777">
        <w:trPr>
          <w:cantSplit/>
        </w:trPr>
        <w:tc>
          <w:tcPr>
            <w:tcW w:w="26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DAEAD1C" w14:textId="77777777" w:rsidR="008F128A" w:rsidRDefault="00000000">
            <w:pPr>
              <w:spacing w:line="250" w:lineRule="auto"/>
            </w:pPr>
            <w:r>
              <w:rPr>
                <w:rFonts w:ascii="Calibri" w:eastAsia="Calibri" w:hAnsi="Calibri" w:cs="Calibri"/>
                <w:sz w:val="17"/>
                <w:szCs w:val="17"/>
              </w:rPr>
              <w:t>Référence</w:t>
            </w:r>
          </w:p>
        </w:tc>
        <w:tc>
          <w:tcPr>
            <w:tcW w:w="6809"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133DE58" w14:textId="77777777" w:rsidR="008F128A" w:rsidRDefault="00000000">
            <w:pPr>
              <w:spacing w:line="250" w:lineRule="auto"/>
            </w:pPr>
            <w:r>
              <w:rPr>
                <w:rFonts w:ascii="Calibri" w:eastAsia="Calibri" w:hAnsi="Calibri" w:cs="Calibri"/>
                <w:sz w:val="17"/>
                <w:szCs w:val="17"/>
              </w:rPr>
              <w:t>CEL-BP-001 · document de travail · version 0.1</w:t>
            </w:r>
          </w:p>
        </w:tc>
      </w:tr>
      <w:tr w:rsidR="008F128A" w14:paraId="38CB9B4F" w14:textId="77777777">
        <w:trPr>
          <w:cantSplit/>
        </w:trPr>
        <w:tc>
          <w:tcPr>
            <w:tcW w:w="26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D68C2F6" w14:textId="77777777" w:rsidR="008F128A" w:rsidRDefault="00000000">
            <w:pPr>
              <w:spacing w:line="250" w:lineRule="auto"/>
            </w:pPr>
            <w:r>
              <w:rPr>
                <w:rFonts w:ascii="Calibri" w:eastAsia="Calibri" w:hAnsi="Calibri" w:cs="Calibri"/>
                <w:sz w:val="17"/>
                <w:szCs w:val="17"/>
              </w:rPr>
              <w:t>Organisation</w:t>
            </w:r>
          </w:p>
        </w:tc>
        <w:tc>
          <w:tcPr>
            <w:tcW w:w="6809"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70C2A9D" w14:textId="77777777" w:rsidR="008F128A" w:rsidRDefault="00000000">
            <w:pPr>
              <w:spacing w:line="250" w:lineRule="auto"/>
            </w:pPr>
            <w:r>
              <w:rPr>
                <w:rFonts w:ascii="Calibri" w:eastAsia="Calibri" w:hAnsi="Calibri" w:cs="Calibri"/>
                <w:sz w:val="17"/>
                <w:szCs w:val="17"/>
              </w:rPr>
              <w:t>Carnival Economy Lab, Jacmel, Haïti</w:t>
            </w:r>
          </w:p>
        </w:tc>
      </w:tr>
      <w:tr w:rsidR="008F128A" w14:paraId="7AEAC57E" w14:textId="77777777">
        <w:trPr>
          <w:cantSplit/>
        </w:trPr>
        <w:tc>
          <w:tcPr>
            <w:tcW w:w="26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611EA1B" w14:textId="77777777" w:rsidR="008F128A" w:rsidRDefault="00000000">
            <w:pPr>
              <w:spacing w:line="250" w:lineRule="auto"/>
            </w:pPr>
            <w:r>
              <w:rPr>
                <w:rFonts w:ascii="Calibri" w:eastAsia="Calibri" w:hAnsi="Calibri" w:cs="Calibri"/>
                <w:sz w:val="17"/>
                <w:szCs w:val="17"/>
              </w:rPr>
              <w:t>Partenaires de la CEW 2026</w:t>
            </w:r>
          </w:p>
        </w:tc>
        <w:tc>
          <w:tcPr>
            <w:tcW w:w="6809"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84F07CB" w14:textId="77777777" w:rsidR="008F128A" w:rsidRDefault="00000000">
            <w:pPr>
              <w:spacing w:line="250" w:lineRule="auto"/>
            </w:pPr>
            <w:r>
              <w:rPr>
                <w:rFonts w:ascii="Calibri" w:eastAsia="Calibri" w:hAnsi="Calibri" w:cs="Calibri"/>
                <w:sz w:val="17"/>
                <w:szCs w:val="17"/>
              </w:rPr>
              <w:t>iHaiti, LANS</w:t>
            </w:r>
          </w:p>
        </w:tc>
      </w:tr>
      <w:tr w:rsidR="008F128A" w14:paraId="3B3C2085" w14:textId="77777777">
        <w:trPr>
          <w:cantSplit/>
        </w:trPr>
        <w:tc>
          <w:tcPr>
            <w:tcW w:w="26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BA76F4F" w14:textId="77777777" w:rsidR="008F128A" w:rsidRDefault="00000000">
            <w:pPr>
              <w:spacing w:line="250" w:lineRule="auto"/>
            </w:pPr>
            <w:r>
              <w:rPr>
                <w:rFonts w:ascii="Calibri" w:eastAsia="Calibri" w:hAnsi="Calibri" w:cs="Calibri"/>
                <w:sz w:val="17"/>
                <w:szCs w:val="17"/>
              </w:rPr>
              <w:t>Rédaction</w:t>
            </w:r>
          </w:p>
        </w:tc>
        <w:tc>
          <w:tcPr>
            <w:tcW w:w="6809"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165D8D5" w14:textId="77777777" w:rsidR="008F128A" w:rsidRDefault="00000000">
            <w:pPr>
              <w:spacing w:line="250" w:lineRule="auto"/>
            </w:pPr>
            <w:r>
              <w:rPr>
                <w:rFonts w:ascii="Calibri" w:eastAsia="Calibri" w:hAnsi="Calibri" w:cs="Calibri"/>
                <w:sz w:val="17"/>
                <w:szCs w:val="17"/>
              </w:rPr>
              <w:t>Carnival Economy Lab</w:t>
            </w:r>
          </w:p>
        </w:tc>
      </w:tr>
      <w:tr w:rsidR="008F128A" w14:paraId="35E1FC40" w14:textId="77777777">
        <w:trPr>
          <w:cantSplit/>
        </w:trPr>
        <w:tc>
          <w:tcPr>
            <w:tcW w:w="26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0CB8708D" w14:textId="77777777" w:rsidR="008F128A" w:rsidRDefault="00000000">
            <w:pPr>
              <w:spacing w:line="250" w:lineRule="auto"/>
            </w:pPr>
            <w:r>
              <w:rPr>
                <w:rFonts w:ascii="Calibri" w:eastAsia="Calibri" w:hAnsi="Calibri" w:cs="Calibri"/>
                <w:sz w:val="17"/>
                <w:szCs w:val="17"/>
              </w:rPr>
              <w:t>Statut</w:t>
            </w:r>
          </w:p>
        </w:tc>
        <w:tc>
          <w:tcPr>
            <w:tcW w:w="6809"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AC2952F" w14:textId="77777777" w:rsidR="008F128A" w:rsidRDefault="00000000">
            <w:pPr>
              <w:spacing w:line="250" w:lineRule="auto"/>
            </w:pPr>
            <w:r>
              <w:rPr>
                <w:rFonts w:ascii="Calibri" w:eastAsia="Calibri" w:hAnsi="Calibri" w:cs="Calibri"/>
                <w:sz w:val="17"/>
                <w:szCs w:val="17"/>
              </w:rPr>
              <w:t>Version de travail, non encore soumise aux intervenants ni à un comité de lecture</w:t>
            </w:r>
          </w:p>
        </w:tc>
      </w:tr>
      <w:tr w:rsidR="008F128A" w14:paraId="269FBF04" w14:textId="77777777">
        <w:trPr>
          <w:cantSplit/>
        </w:trPr>
        <w:tc>
          <w:tcPr>
            <w:tcW w:w="26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996E45D" w14:textId="77777777" w:rsidR="008F128A" w:rsidRDefault="00000000">
            <w:pPr>
              <w:spacing w:line="250" w:lineRule="auto"/>
            </w:pPr>
            <w:r>
              <w:rPr>
                <w:rFonts w:ascii="Calibri" w:eastAsia="Calibri" w:hAnsi="Calibri" w:cs="Calibri"/>
                <w:sz w:val="17"/>
                <w:szCs w:val="17"/>
              </w:rPr>
              <w:t>Terrain</w:t>
            </w:r>
          </w:p>
        </w:tc>
        <w:tc>
          <w:tcPr>
            <w:tcW w:w="6809"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CC397B4" w14:textId="77777777" w:rsidR="008F128A" w:rsidRDefault="00000000">
            <w:pPr>
              <w:spacing w:line="250" w:lineRule="auto"/>
            </w:pPr>
            <w:r>
              <w:rPr>
                <w:rFonts w:ascii="Calibri" w:eastAsia="Calibri" w:hAnsi="Calibri" w:cs="Calibri"/>
                <w:sz w:val="17"/>
                <w:szCs w:val="17"/>
              </w:rPr>
              <w:t>Carnival Economy Week 2026, trois sessions publiques en ligne, 24-26 septembre 2026</w:t>
            </w:r>
          </w:p>
        </w:tc>
      </w:tr>
    </w:tbl>
    <w:p w14:paraId="596FC236" w14:textId="77777777" w:rsidR="008F128A" w:rsidRDefault="00000000">
      <w:pPr>
        <w:pStyle w:val="Corpsdetexte"/>
        <w:spacing w:before="360"/>
      </w:pPr>
      <w:r>
        <w:rPr>
          <w:b/>
          <w:bCs/>
        </w:rPr>
        <w:t>Pour citer ce document.</w:t>
      </w:r>
      <w:r>
        <w:t xml:space="preserve"> Carnival Economy Lab. (2026). </w:t>
      </w:r>
      <w:r>
        <w:rPr>
          <w:i/>
          <w:iCs/>
        </w:rPr>
        <w:t>L'économie derrière le défilé : diagnostic institutionnel du carnaval de Jacmel et architecture du Blueprint 2027</w:t>
      </w:r>
      <w:r>
        <w:t xml:space="preserve"> (Document de travail CEL-BP-001, version 0.1). Carnival Economy Lab.</w:t>
      </w:r>
    </w:p>
    <w:p w14:paraId="2F7A6F94" w14:textId="77777777" w:rsidR="008F128A" w:rsidRDefault="00000000">
      <w:pPr>
        <w:pStyle w:val="Corpsdetexte"/>
      </w:pPr>
      <w:r>
        <w:rPr>
          <w:b/>
          <w:bCs/>
        </w:rPr>
        <w:t>Déclaration d'intérêts.</w:t>
      </w:r>
      <w:r>
        <w:t xml:space="preserve"> Le Carnival Economy Lab a organisé la Carnival Economy Week, dont le présent document analyse les échanges, et il est proposé à la section 6 comme opérateur de l'Observatoire. Ce double rôle est porté à la connaissance du lecteur ; les limites qui en découlent sont examinées à la section 7.</w:t>
      </w:r>
    </w:p>
    <w:p w14:paraId="07175211" w14:textId="77777777" w:rsidR="008F128A" w:rsidRDefault="00000000">
      <w:pPr>
        <w:pStyle w:val="Corpsdetexte"/>
      </w:pPr>
      <w:r>
        <w:rPr>
          <w:b/>
          <w:bCs/>
        </w:rPr>
        <w:t>Avertissement.</w:t>
      </w:r>
      <w:r>
        <w:t xml:space="preserve"> Les propos rapportés proviennent pour partie de transcriptions automatiques. Leur niveau de preuve est indiqué pour chaque attribution selon la grille exposée à la section 3.3.</w:t>
      </w:r>
    </w:p>
    <w:p w14:paraId="24B40CBA" w14:textId="77777777" w:rsidR="008F128A" w:rsidRDefault="00000000">
      <w:r>
        <w:br w:type="page"/>
      </w:r>
    </w:p>
    <w:p w14:paraId="2A58F80A" w14:textId="77777777" w:rsidR="008F128A" w:rsidRDefault="00000000">
      <w:pPr>
        <w:pStyle w:val="Titreliminaire"/>
      </w:pPr>
      <w:r>
        <w:lastRenderedPageBreak/>
        <w:t>Sommaire</w:t>
      </w:r>
    </w:p>
    <w:sdt>
      <w:sdtPr>
        <w:alias w:val="Sommaire"/>
        <w:id w:val="1832330736"/>
      </w:sdtPr>
      <w:sdtContent>
        <w:p w14:paraId="32306183" w14:textId="77777777" w:rsidR="00F122A7" w:rsidRDefault="00000000">
          <w:pPr>
            <w:pStyle w:val="TOC1"/>
            <w:tabs>
              <w:tab w:val="right" w:leader="dot" w:pos="9402"/>
            </w:tabs>
            <w:rPr>
              <w:noProof/>
            </w:rPr>
          </w:pPr>
          <w:r>
            <w:fldChar w:fldCharType="begin"/>
          </w:r>
          <w:r>
            <w:instrText>TOC \h \o "1-2"</w:instrText>
          </w:r>
          <w:r>
            <w:fldChar w:fldCharType="separate"/>
          </w:r>
          <w:hyperlink w:anchor="_Toc241614661" w:history="1">
            <w:r w:rsidR="00F122A7" w:rsidRPr="00EA537A">
              <w:rPr>
                <w:rStyle w:val="Hyperlink"/>
                <w:noProof/>
              </w:rPr>
              <w:t>Sigles et acronymes</w:t>
            </w:r>
            <w:r w:rsidR="00F122A7">
              <w:rPr>
                <w:noProof/>
              </w:rPr>
              <w:tab/>
            </w:r>
            <w:r w:rsidR="00F122A7">
              <w:rPr>
                <w:noProof/>
              </w:rPr>
              <w:fldChar w:fldCharType="begin"/>
            </w:r>
            <w:r w:rsidR="00F122A7">
              <w:rPr>
                <w:noProof/>
              </w:rPr>
              <w:instrText xml:space="preserve"> PAGEREF _Toc241614661 \h </w:instrText>
            </w:r>
            <w:r w:rsidR="00F122A7">
              <w:rPr>
                <w:noProof/>
              </w:rPr>
            </w:r>
            <w:r w:rsidR="00F122A7">
              <w:rPr>
                <w:noProof/>
              </w:rPr>
              <w:fldChar w:fldCharType="separate"/>
            </w:r>
            <w:r w:rsidR="00F122A7">
              <w:rPr>
                <w:noProof/>
              </w:rPr>
              <w:t>1</w:t>
            </w:r>
            <w:r w:rsidR="00F122A7">
              <w:rPr>
                <w:noProof/>
              </w:rPr>
              <w:fldChar w:fldCharType="end"/>
            </w:r>
          </w:hyperlink>
        </w:p>
        <w:p w14:paraId="0519BC2E" w14:textId="77777777" w:rsidR="00F122A7" w:rsidRDefault="00F122A7">
          <w:pPr>
            <w:pStyle w:val="TOC1"/>
            <w:tabs>
              <w:tab w:val="right" w:leader="dot" w:pos="9402"/>
            </w:tabs>
            <w:rPr>
              <w:noProof/>
            </w:rPr>
          </w:pPr>
          <w:hyperlink w:anchor="_Toc241614662" w:history="1">
            <w:r w:rsidRPr="00EA537A">
              <w:rPr>
                <w:rStyle w:val="Hyperlink"/>
                <w:noProof/>
              </w:rPr>
              <w:t>Résumé</w:t>
            </w:r>
            <w:r>
              <w:rPr>
                <w:noProof/>
              </w:rPr>
              <w:tab/>
            </w:r>
            <w:r>
              <w:rPr>
                <w:noProof/>
              </w:rPr>
              <w:fldChar w:fldCharType="begin"/>
            </w:r>
            <w:r>
              <w:rPr>
                <w:noProof/>
              </w:rPr>
              <w:instrText xml:space="preserve"> PAGEREF _Toc241614662 \h </w:instrText>
            </w:r>
            <w:r>
              <w:rPr>
                <w:noProof/>
              </w:rPr>
            </w:r>
            <w:r>
              <w:rPr>
                <w:noProof/>
              </w:rPr>
              <w:fldChar w:fldCharType="separate"/>
            </w:r>
            <w:r>
              <w:rPr>
                <w:noProof/>
              </w:rPr>
              <w:t>1</w:t>
            </w:r>
            <w:r>
              <w:rPr>
                <w:noProof/>
              </w:rPr>
              <w:fldChar w:fldCharType="end"/>
            </w:r>
          </w:hyperlink>
        </w:p>
        <w:p w14:paraId="4754DF2B" w14:textId="77777777" w:rsidR="00F122A7" w:rsidRDefault="00F122A7">
          <w:pPr>
            <w:pStyle w:val="TOC1"/>
            <w:tabs>
              <w:tab w:val="right" w:leader="dot" w:pos="9402"/>
            </w:tabs>
            <w:rPr>
              <w:noProof/>
            </w:rPr>
          </w:pPr>
          <w:hyperlink w:anchor="_Toc241614663" w:history="1">
            <w:r w:rsidRPr="00EA537A">
              <w:rPr>
                <w:rStyle w:val="Hyperlink"/>
                <w:noProof/>
              </w:rPr>
              <w:t>Abstract</w:t>
            </w:r>
            <w:r>
              <w:rPr>
                <w:noProof/>
              </w:rPr>
              <w:tab/>
            </w:r>
            <w:r>
              <w:rPr>
                <w:noProof/>
              </w:rPr>
              <w:fldChar w:fldCharType="begin"/>
            </w:r>
            <w:r>
              <w:rPr>
                <w:noProof/>
              </w:rPr>
              <w:instrText xml:space="preserve"> PAGEREF _Toc241614663 \h </w:instrText>
            </w:r>
            <w:r>
              <w:rPr>
                <w:noProof/>
              </w:rPr>
            </w:r>
            <w:r>
              <w:rPr>
                <w:noProof/>
              </w:rPr>
              <w:fldChar w:fldCharType="separate"/>
            </w:r>
            <w:r>
              <w:rPr>
                <w:noProof/>
              </w:rPr>
              <w:t>1</w:t>
            </w:r>
            <w:r>
              <w:rPr>
                <w:noProof/>
              </w:rPr>
              <w:fldChar w:fldCharType="end"/>
            </w:r>
          </w:hyperlink>
        </w:p>
        <w:p w14:paraId="1E023FC7" w14:textId="77777777" w:rsidR="00F122A7" w:rsidRDefault="00F122A7">
          <w:pPr>
            <w:pStyle w:val="TOC1"/>
            <w:tabs>
              <w:tab w:val="right" w:leader="dot" w:pos="9402"/>
            </w:tabs>
            <w:rPr>
              <w:noProof/>
            </w:rPr>
          </w:pPr>
          <w:hyperlink w:anchor="_Toc241614664" w:history="1">
            <w:r w:rsidRPr="00EA537A">
              <w:rPr>
                <w:rStyle w:val="Hyperlink"/>
                <w:noProof/>
              </w:rPr>
              <w:t>1. Introduction</w:t>
            </w:r>
            <w:r>
              <w:rPr>
                <w:noProof/>
              </w:rPr>
              <w:tab/>
            </w:r>
            <w:r>
              <w:rPr>
                <w:noProof/>
              </w:rPr>
              <w:fldChar w:fldCharType="begin"/>
            </w:r>
            <w:r>
              <w:rPr>
                <w:noProof/>
              </w:rPr>
              <w:instrText xml:space="preserve"> PAGEREF _Toc241614664 \h </w:instrText>
            </w:r>
            <w:r>
              <w:rPr>
                <w:noProof/>
              </w:rPr>
            </w:r>
            <w:r>
              <w:rPr>
                <w:noProof/>
              </w:rPr>
              <w:fldChar w:fldCharType="separate"/>
            </w:r>
            <w:r>
              <w:rPr>
                <w:noProof/>
              </w:rPr>
              <w:t>1</w:t>
            </w:r>
            <w:r>
              <w:rPr>
                <w:noProof/>
              </w:rPr>
              <w:fldChar w:fldCharType="end"/>
            </w:r>
          </w:hyperlink>
        </w:p>
        <w:p w14:paraId="57556FE3" w14:textId="77777777" w:rsidR="00F122A7" w:rsidRDefault="00F122A7">
          <w:pPr>
            <w:pStyle w:val="TOC1"/>
            <w:tabs>
              <w:tab w:val="right" w:leader="dot" w:pos="9402"/>
            </w:tabs>
            <w:rPr>
              <w:noProof/>
            </w:rPr>
          </w:pPr>
          <w:hyperlink w:anchor="_Toc241614665" w:history="1">
            <w:r w:rsidRPr="00EA537A">
              <w:rPr>
                <w:rStyle w:val="Hyperlink"/>
                <w:noProof/>
              </w:rPr>
              <w:t>2. Cadre d'analyse</w:t>
            </w:r>
            <w:r>
              <w:rPr>
                <w:noProof/>
              </w:rPr>
              <w:tab/>
            </w:r>
            <w:r>
              <w:rPr>
                <w:noProof/>
              </w:rPr>
              <w:fldChar w:fldCharType="begin"/>
            </w:r>
            <w:r>
              <w:rPr>
                <w:noProof/>
              </w:rPr>
              <w:instrText xml:space="preserve"> PAGEREF _Toc241614665 \h </w:instrText>
            </w:r>
            <w:r>
              <w:rPr>
                <w:noProof/>
              </w:rPr>
            </w:r>
            <w:r>
              <w:rPr>
                <w:noProof/>
              </w:rPr>
              <w:fldChar w:fldCharType="separate"/>
            </w:r>
            <w:r>
              <w:rPr>
                <w:noProof/>
              </w:rPr>
              <w:t>1</w:t>
            </w:r>
            <w:r>
              <w:rPr>
                <w:noProof/>
              </w:rPr>
              <w:fldChar w:fldCharType="end"/>
            </w:r>
          </w:hyperlink>
        </w:p>
        <w:p w14:paraId="03B232F5" w14:textId="77777777" w:rsidR="00F122A7" w:rsidRDefault="00F122A7">
          <w:pPr>
            <w:pStyle w:val="TOC2"/>
            <w:tabs>
              <w:tab w:val="right" w:leader="dot" w:pos="9402"/>
            </w:tabs>
            <w:rPr>
              <w:noProof/>
            </w:rPr>
          </w:pPr>
          <w:hyperlink w:anchor="_Toc241614666" w:history="1">
            <w:r w:rsidRPr="00EA537A">
              <w:rPr>
                <w:rStyle w:val="Hyperlink"/>
                <w:noProof/>
              </w:rPr>
              <w:t>2.1 Chaîne de valeur et gouvernance</w:t>
            </w:r>
            <w:r>
              <w:rPr>
                <w:noProof/>
              </w:rPr>
              <w:tab/>
            </w:r>
            <w:r>
              <w:rPr>
                <w:noProof/>
              </w:rPr>
              <w:fldChar w:fldCharType="begin"/>
            </w:r>
            <w:r>
              <w:rPr>
                <w:noProof/>
              </w:rPr>
              <w:instrText xml:space="preserve"> PAGEREF _Toc241614666 \h </w:instrText>
            </w:r>
            <w:r>
              <w:rPr>
                <w:noProof/>
              </w:rPr>
            </w:r>
            <w:r>
              <w:rPr>
                <w:noProof/>
              </w:rPr>
              <w:fldChar w:fldCharType="separate"/>
            </w:r>
            <w:r>
              <w:rPr>
                <w:noProof/>
              </w:rPr>
              <w:t>1</w:t>
            </w:r>
            <w:r>
              <w:rPr>
                <w:noProof/>
              </w:rPr>
              <w:fldChar w:fldCharType="end"/>
            </w:r>
          </w:hyperlink>
        </w:p>
        <w:p w14:paraId="66598C29" w14:textId="77777777" w:rsidR="00F122A7" w:rsidRDefault="00F122A7">
          <w:pPr>
            <w:pStyle w:val="TOC2"/>
            <w:tabs>
              <w:tab w:val="right" w:leader="dot" w:pos="9402"/>
            </w:tabs>
            <w:rPr>
              <w:noProof/>
            </w:rPr>
          </w:pPr>
          <w:hyperlink w:anchor="_Toc241614667" w:history="1">
            <w:r w:rsidRPr="00EA537A">
              <w:rPr>
                <w:rStyle w:val="Hyperlink"/>
                <w:noProof/>
              </w:rPr>
              <w:t>2.2 Fuites et valeur retenue</w:t>
            </w:r>
            <w:r>
              <w:rPr>
                <w:noProof/>
              </w:rPr>
              <w:tab/>
            </w:r>
            <w:r>
              <w:rPr>
                <w:noProof/>
              </w:rPr>
              <w:fldChar w:fldCharType="begin"/>
            </w:r>
            <w:r>
              <w:rPr>
                <w:noProof/>
              </w:rPr>
              <w:instrText xml:space="preserve"> PAGEREF _Toc241614667 \h </w:instrText>
            </w:r>
            <w:r>
              <w:rPr>
                <w:noProof/>
              </w:rPr>
            </w:r>
            <w:r>
              <w:rPr>
                <w:noProof/>
              </w:rPr>
              <w:fldChar w:fldCharType="separate"/>
            </w:r>
            <w:r>
              <w:rPr>
                <w:noProof/>
              </w:rPr>
              <w:t>1</w:t>
            </w:r>
            <w:r>
              <w:rPr>
                <w:noProof/>
              </w:rPr>
              <w:fldChar w:fldCharType="end"/>
            </w:r>
          </w:hyperlink>
        </w:p>
        <w:p w14:paraId="1462F2B7" w14:textId="77777777" w:rsidR="00F122A7" w:rsidRDefault="00F122A7">
          <w:pPr>
            <w:pStyle w:val="TOC2"/>
            <w:tabs>
              <w:tab w:val="right" w:leader="dot" w:pos="9402"/>
            </w:tabs>
            <w:rPr>
              <w:noProof/>
            </w:rPr>
          </w:pPr>
          <w:hyperlink w:anchor="_Toc241614668" w:history="1">
            <w:r w:rsidRPr="00EA537A">
              <w:rPr>
                <w:rStyle w:val="Hyperlink"/>
                <w:noProof/>
              </w:rPr>
              <w:t>2.3 Systèmes de marché</w:t>
            </w:r>
            <w:r>
              <w:rPr>
                <w:noProof/>
              </w:rPr>
              <w:tab/>
            </w:r>
            <w:r>
              <w:rPr>
                <w:noProof/>
              </w:rPr>
              <w:fldChar w:fldCharType="begin"/>
            </w:r>
            <w:r>
              <w:rPr>
                <w:noProof/>
              </w:rPr>
              <w:instrText xml:space="preserve"> PAGEREF _Toc241614668 \h </w:instrText>
            </w:r>
            <w:r>
              <w:rPr>
                <w:noProof/>
              </w:rPr>
            </w:r>
            <w:r>
              <w:rPr>
                <w:noProof/>
              </w:rPr>
              <w:fldChar w:fldCharType="separate"/>
            </w:r>
            <w:r>
              <w:rPr>
                <w:noProof/>
              </w:rPr>
              <w:t>1</w:t>
            </w:r>
            <w:r>
              <w:rPr>
                <w:noProof/>
              </w:rPr>
              <w:fldChar w:fldCharType="end"/>
            </w:r>
          </w:hyperlink>
        </w:p>
        <w:p w14:paraId="33060696" w14:textId="77777777" w:rsidR="00F122A7" w:rsidRDefault="00F122A7">
          <w:pPr>
            <w:pStyle w:val="TOC2"/>
            <w:tabs>
              <w:tab w:val="right" w:leader="dot" w:pos="9402"/>
            </w:tabs>
            <w:rPr>
              <w:noProof/>
            </w:rPr>
          </w:pPr>
          <w:hyperlink w:anchor="_Toc241614669" w:history="1">
            <w:r w:rsidRPr="00EA537A">
              <w:rPr>
                <w:rStyle w:val="Hyperlink"/>
                <w:noProof/>
              </w:rPr>
              <w:t>2.4 Capital culturel</w:t>
            </w:r>
            <w:r>
              <w:rPr>
                <w:noProof/>
              </w:rPr>
              <w:tab/>
            </w:r>
            <w:r>
              <w:rPr>
                <w:noProof/>
              </w:rPr>
              <w:fldChar w:fldCharType="begin"/>
            </w:r>
            <w:r>
              <w:rPr>
                <w:noProof/>
              </w:rPr>
              <w:instrText xml:space="preserve"> PAGEREF _Toc241614669 \h </w:instrText>
            </w:r>
            <w:r>
              <w:rPr>
                <w:noProof/>
              </w:rPr>
            </w:r>
            <w:r>
              <w:rPr>
                <w:noProof/>
              </w:rPr>
              <w:fldChar w:fldCharType="separate"/>
            </w:r>
            <w:r>
              <w:rPr>
                <w:noProof/>
              </w:rPr>
              <w:t>1</w:t>
            </w:r>
            <w:r>
              <w:rPr>
                <w:noProof/>
              </w:rPr>
              <w:fldChar w:fldCharType="end"/>
            </w:r>
          </w:hyperlink>
        </w:p>
        <w:p w14:paraId="09377380" w14:textId="77777777" w:rsidR="00F122A7" w:rsidRDefault="00F122A7">
          <w:pPr>
            <w:pStyle w:val="TOC2"/>
            <w:tabs>
              <w:tab w:val="right" w:leader="dot" w:pos="9402"/>
            </w:tabs>
            <w:rPr>
              <w:noProof/>
            </w:rPr>
          </w:pPr>
          <w:hyperlink w:anchor="_Toc241614670" w:history="1">
            <w:r w:rsidRPr="00EA537A">
              <w:rPr>
                <w:rStyle w:val="Hyperlink"/>
                <w:noProof/>
              </w:rPr>
              <w:t>2.5 Authenticité et marchandisation</w:t>
            </w:r>
            <w:r>
              <w:rPr>
                <w:noProof/>
              </w:rPr>
              <w:tab/>
            </w:r>
            <w:r>
              <w:rPr>
                <w:noProof/>
              </w:rPr>
              <w:fldChar w:fldCharType="begin"/>
            </w:r>
            <w:r>
              <w:rPr>
                <w:noProof/>
              </w:rPr>
              <w:instrText xml:space="preserve"> PAGEREF _Toc241614670 \h </w:instrText>
            </w:r>
            <w:r>
              <w:rPr>
                <w:noProof/>
              </w:rPr>
            </w:r>
            <w:r>
              <w:rPr>
                <w:noProof/>
              </w:rPr>
              <w:fldChar w:fldCharType="separate"/>
            </w:r>
            <w:r>
              <w:rPr>
                <w:noProof/>
              </w:rPr>
              <w:t>1</w:t>
            </w:r>
            <w:r>
              <w:rPr>
                <w:noProof/>
              </w:rPr>
              <w:fldChar w:fldCharType="end"/>
            </w:r>
          </w:hyperlink>
        </w:p>
        <w:p w14:paraId="2F56A229" w14:textId="77777777" w:rsidR="00F122A7" w:rsidRDefault="00F122A7">
          <w:pPr>
            <w:pStyle w:val="TOC1"/>
            <w:tabs>
              <w:tab w:val="right" w:leader="dot" w:pos="9402"/>
            </w:tabs>
            <w:rPr>
              <w:noProof/>
            </w:rPr>
          </w:pPr>
          <w:hyperlink w:anchor="_Toc241614671" w:history="1">
            <w:r w:rsidRPr="00EA537A">
              <w:rPr>
                <w:rStyle w:val="Hyperlink"/>
                <w:noProof/>
              </w:rPr>
              <w:t>3. Matériaux et méthode</w:t>
            </w:r>
            <w:r>
              <w:rPr>
                <w:noProof/>
              </w:rPr>
              <w:tab/>
            </w:r>
            <w:r>
              <w:rPr>
                <w:noProof/>
              </w:rPr>
              <w:fldChar w:fldCharType="begin"/>
            </w:r>
            <w:r>
              <w:rPr>
                <w:noProof/>
              </w:rPr>
              <w:instrText xml:space="preserve"> PAGEREF _Toc241614671 \h </w:instrText>
            </w:r>
            <w:r>
              <w:rPr>
                <w:noProof/>
              </w:rPr>
            </w:r>
            <w:r>
              <w:rPr>
                <w:noProof/>
              </w:rPr>
              <w:fldChar w:fldCharType="separate"/>
            </w:r>
            <w:r>
              <w:rPr>
                <w:noProof/>
              </w:rPr>
              <w:t>1</w:t>
            </w:r>
            <w:r>
              <w:rPr>
                <w:noProof/>
              </w:rPr>
              <w:fldChar w:fldCharType="end"/>
            </w:r>
          </w:hyperlink>
        </w:p>
        <w:p w14:paraId="2997BC43" w14:textId="77777777" w:rsidR="00F122A7" w:rsidRDefault="00F122A7">
          <w:pPr>
            <w:pStyle w:val="TOC2"/>
            <w:tabs>
              <w:tab w:val="right" w:leader="dot" w:pos="9402"/>
            </w:tabs>
            <w:rPr>
              <w:noProof/>
            </w:rPr>
          </w:pPr>
          <w:hyperlink w:anchor="_Toc241614672" w:history="1">
            <w:r w:rsidRPr="00EA537A">
              <w:rPr>
                <w:rStyle w:val="Hyperlink"/>
                <w:noProof/>
              </w:rPr>
              <w:t>3.1 Dispositif</w:t>
            </w:r>
            <w:r>
              <w:rPr>
                <w:noProof/>
              </w:rPr>
              <w:tab/>
            </w:r>
            <w:r>
              <w:rPr>
                <w:noProof/>
              </w:rPr>
              <w:fldChar w:fldCharType="begin"/>
            </w:r>
            <w:r>
              <w:rPr>
                <w:noProof/>
              </w:rPr>
              <w:instrText xml:space="preserve"> PAGEREF _Toc241614672 \h </w:instrText>
            </w:r>
            <w:r>
              <w:rPr>
                <w:noProof/>
              </w:rPr>
            </w:r>
            <w:r>
              <w:rPr>
                <w:noProof/>
              </w:rPr>
              <w:fldChar w:fldCharType="separate"/>
            </w:r>
            <w:r>
              <w:rPr>
                <w:noProof/>
              </w:rPr>
              <w:t>1</w:t>
            </w:r>
            <w:r>
              <w:rPr>
                <w:noProof/>
              </w:rPr>
              <w:fldChar w:fldCharType="end"/>
            </w:r>
          </w:hyperlink>
        </w:p>
        <w:p w14:paraId="3D1E271D" w14:textId="77777777" w:rsidR="00F122A7" w:rsidRDefault="00F122A7">
          <w:pPr>
            <w:pStyle w:val="TOC2"/>
            <w:tabs>
              <w:tab w:val="right" w:leader="dot" w:pos="9402"/>
            </w:tabs>
            <w:rPr>
              <w:noProof/>
            </w:rPr>
          </w:pPr>
          <w:hyperlink w:anchor="_Toc241614673" w:history="1">
            <w:r w:rsidRPr="00EA537A">
              <w:rPr>
                <w:rStyle w:val="Hyperlink"/>
                <w:noProof/>
              </w:rPr>
              <w:t>3.2 Sources</w:t>
            </w:r>
            <w:r>
              <w:rPr>
                <w:noProof/>
              </w:rPr>
              <w:tab/>
            </w:r>
            <w:r>
              <w:rPr>
                <w:noProof/>
              </w:rPr>
              <w:fldChar w:fldCharType="begin"/>
            </w:r>
            <w:r>
              <w:rPr>
                <w:noProof/>
              </w:rPr>
              <w:instrText xml:space="preserve"> PAGEREF _Toc241614673 \h </w:instrText>
            </w:r>
            <w:r>
              <w:rPr>
                <w:noProof/>
              </w:rPr>
            </w:r>
            <w:r>
              <w:rPr>
                <w:noProof/>
              </w:rPr>
              <w:fldChar w:fldCharType="separate"/>
            </w:r>
            <w:r>
              <w:rPr>
                <w:noProof/>
              </w:rPr>
              <w:t>1</w:t>
            </w:r>
            <w:r>
              <w:rPr>
                <w:noProof/>
              </w:rPr>
              <w:fldChar w:fldCharType="end"/>
            </w:r>
          </w:hyperlink>
        </w:p>
        <w:p w14:paraId="48CF5608" w14:textId="77777777" w:rsidR="00F122A7" w:rsidRDefault="00F122A7">
          <w:pPr>
            <w:pStyle w:val="TOC2"/>
            <w:tabs>
              <w:tab w:val="right" w:leader="dot" w:pos="9402"/>
            </w:tabs>
            <w:rPr>
              <w:noProof/>
            </w:rPr>
          </w:pPr>
          <w:hyperlink w:anchor="_Toc241614674" w:history="1">
            <w:r w:rsidRPr="00EA537A">
              <w:rPr>
                <w:rStyle w:val="Hyperlink"/>
                <w:noProof/>
              </w:rPr>
              <w:t>3.3 Niveaux de preuve</w:t>
            </w:r>
            <w:r>
              <w:rPr>
                <w:noProof/>
              </w:rPr>
              <w:tab/>
            </w:r>
            <w:r>
              <w:rPr>
                <w:noProof/>
              </w:rPr>
              <w:fldChar w:fldCharType="begin"/>
            </w:r>
            <w:r>
              <w:rPr>
                <w:noProof/>
              </w:rPr>
              <w:instrText xml:space="preserve"> PAGEREF _Toc241614674 \h </w:instrText>
            </w:r>
            <w:r>
              <w:rPr>
                <w:noProof/>
              </w:rPr>
            </w:r>
            <w:r>
              <w:rPr>
                <w:noProof/>
              </w:rPr>
              <w:fldChar w:fldCharType="separate"/>
            </w:r>
            <w:r>
              <w:rPr>
                <w:noProof/>
              </w:rPr>
              <w:t>1</w:t>
            </w:r>
            <w:r>
              <w:rPr>
                <w:noProof/>
              </w:rPr>
              <w:fldChar w:fldCharType="end"/>
            </w:r>
          </w:hyperlink>
        </w:p>
        <w:p w14:paraId="55244A38" w14:textId="77777777" w:rsidR="00F122A7" w:rsidRDefault="00F122A7">
          <w:pPr>
            <w:pStyle w:val="TOC2"/>
            <w:tabs>
              <w:tab w:val="right" w:leader="dot" w:pos="9402"/>
            </w:tabs>
            <w:rPr>
              <w:noProof/>
            </w:rPr>
          </w:pPr>
          <w:hyperlink w:anchor="_Toc241614675" w:history="1">
            <w:r w:rsidRPr="00EA537A">
              <w:rPr>
                <w:rStyle w:val="Hyperlink"/>
                <w:noProof/>
              </w:rPr>
              <w:t>3.4 Analyse</w:t>
            </w:r>
            <w:r>
              <w:rPr>
                <w:noProof/>
              </w:rPr>
              <w:tab/>
            </w:r>
            <w:r>
              <w:rPr>
                <w:noProof/>
              </w:rPr>
              <w:fldChar w:fldCharType="begin"/>
            </w:r>
            <w:r>
              <w:rPr>
                <w:noProof/>
              </w:rPr>
              <w:instrText xml:space="preserve"> PAGEREF _Toc241614675 \h </w:instrText>
            </w:r>
            <w:r>
              <w:rPr>
                <w:noProof/>
              </w:rPr>
            </w:r>
            <w:r>
              <w:rPr>
                <w:noProof/>
              </w:rPr>
              <w:fldChar w:fldCharType="separate"/>
            </w:r>
            <w:r>
              <w:rPr>
                <w:noProof/>
              </w:rPr>
              <w:t>1</w:t>
            </w:r>
            <w:r>
              <w:rPr>
                <w:noProof/>
              </w:rPr>
              <w:fldChar w:fldCharType="end"/>
            </w:r>
          </w:hyperlink>
        </w:p>
        <w:p w14:paraId="6C4033F6" w14:textId="77777777" w:rsidR="00F122A7" w:rsidRDefault="00F122A7">
          <w:pPr>
            <w:pStyle w:val="TOC2"/>
            <w:tabs>
              <w:tab w:val="right" w:leader="dot" w:pos="9402"/>
            </w:tabs>
            <w:rPr>
              <w:noProof/>
            </w:rPr>
          </w:pPr>
          <w:hyperlink w:anchor="_Toc241614676" w:history="1">
            <w:r w:rsidRPr="00EA537A">
              <w:rPr>
                <w:rStyle w:val="Hyperlink"/>
                <w:noProof/>
              </w:rPr>
              <w:t>3.5 Éthique</w:t>
            </w:r>
            <w:r>
              <w:rPr>
                <w:noProof/>
              </w:rPr>
              <w:tab/>
            </w:r>
            <w:r>
              <w:rPr>
                <w:noProof/>
              </w:rPr>
              <w:fldChar w:fldCharType="begin"/>
            </w:r>
            <w:r>
              <w:rPr>
                <w:noProof/>
              </w:rPr>
              <w:instrText xml:space="preserve"> PAGEREF _Toc241614676 \h </w:instrText>
            </w:r>
            <w:r>
              <w:rPr>
                <w:noProof/>
              </w:rPr>
            </w:r>
            <w:r>
              <w:rPr>
                <w:noProof/>
              </w:rPr>
              <w:fldChar w:fldCharType="separate"/>
            </w:r>
            <w:r>
              <w:rPr>
                <w:noProof/>
              </w:rPr>
              <w:t>1</w:t>
            </w:r>
            <w:r>
              <w:rPr>
                <w:noProof/>
              </w:rPr>
              <w:fldChar w:fldCharType="end"/>
            </w:r>
          </w:hyperlink>
        </w:p>
        <w:p w14:paraId="76165A9A" w14:textId="77777777" w:rsidR="00F122A7" w:rsidRDefault="00F122A7">
          <w:pPr>
            <w:pStyle w:val="TOC1"/>
            <w:tabs>
              <w:tab w:val="right" w:leader="dot" w:pos="9402"/>
            </w:tabs>
            <w:rPr>
              <w:noProof/>
            </w:rPr>
          </w:pPr>
          <w:hyperlink w:anchor="_Toc241614677" w:history="1">
            <w:r w:rsidRPr="00EA537A">
              <w:rPr>
                <w:rStyle w:val="Hyperlink"/>
                <w:noProof/>
              </w:rPr>
              <w:t>4. Résultats</w:t>
            </w:r>
            <w:r>
              <w:rPr>
                <w:noProof/>
              </w:rPr>
              <w:tab/>
            </w:r>
            <w:r>
              <w:rPr>
                <w:noProof/>
              </w:rPr>
              <w:fldChar w:fldCharType="begin"/>
            </w:r>
            <w:r>
              <w:rPr>
                <w:noProof/>
              </w:rPr>
              <w:instrText xml:space="preserve"> PAGEREF _Toc241614677 \h </w:instrText>
            </w:r>
            <w:r>
              <w:rPr>
                <w:noProof/>
              </w:rPr>
            </w:r>
            <w:r>
              <w:rPr>
                <w:noProof/>
              </w:rPr>
              <w:fldChar w:fldCharType="separate"/>
            </w:r>
            <w:r>
              <w:rPr>
                <w:noProof/>
              </w:rPr>
              <w:t>1</w:t>
            </w:r>
            <w:r>
              <w:rPr>
                <w:noProof/>
              </w:rPr>
              <w:fldChar w:fldCharType="end"/>
            </w:r>
          </w:hyperlink>
        </w:p>
        <w:p w14:paraId="529EB7E9" w14:textId="77777777" w:rsidR="00F122A7" w:rsidRDefault="00F122A7">
          <w:pPr>
            <w:pStyle w:val="TOC2"/>
            <w:tabs>
              <w:tab w:val="right" w:leader="dot" w:pos="9402"/>
            </w:tabs>
            <w:rPr>
              <w:noProof/>
            </w:rPr>
          </w:pPr>
          <w:hyperlink w:anchor="_Toc241614678" w:history="1">
            <w:r w:rsidRPr="00EA537A">
              <w:rPr>
                <w:rStyle w:val="Hyperlink"/>
                <w:noProof/>
              </w:rPr>
              <w:t>4.1 Six constats convergents</w:t>
            </w:r>
            <w:r>
              <w:rPr>
                <w:noProof/>
              </w:rPr>
              <w:tab/>
            </w:r>
            <w:r>
              <w:rPr>
                <w:noProof/>
              </w:rPr>
              <w:fldChar w:fldCharType="begin"/>
            </w:r>
            <w:r>
              <w:rPr>
                <w:noProof/>
              </w:rPr>
              <w:instrText xml:space="preserve"> PAGEREF _Toc241614678 \h </w:instrText>
            </w:r>
            <w:r>
              <w:rPr>
                <w:noProof/>
              </w:rPr>
            </w:r>
            <w:r>
              <w:rPr>
                <w:noProof/>
              </w:rPr>
              <w:fldChar w:fldCharType="separate"/>
            </w:r>
            <w:r>
              <w:rPr>
                <w:noProof/>
              </w:rPr>
              <w:t>1</w:t>
            </w:r>
            <w:r>
              <w:rPr>
                <w:noProof/>
              </w:rPr>
              <w:fldChar w:fldCharType="end"/>
            </w:r>
          </w:hyperlink>
        </w:p>
        <w:p w14:paraId="2E024A20" w14:textId="77777777" w:rsidR="00F122A7" w:rsidRDefault="00F122A7">
          <w:pPr>
            <w:pStyle w:val="TOC2"/>
            <w:tabs>
              <w:tab w:val="right" w:leader="dot" w:pos="9402"/>
            </w:tabs>
            <w:rPr>
              <w:noProof/>
            </w:rPr>
          </w:pPr>
          <w:hyperlink w:anchor="_Toc241614679" w:history="1">
            <w:r w:rsidRPr="00EA537A">
              <w:rPr>
                <w:rStyle w:val="Hyperlink"/>
                <w:noProof/>
              </w:rPr>
              <w:t>4.2 Lecture par maillon</w:t>
            </w:r>
            <w:r>
              <w:rPr>
                <w:noProof/>
              </w:rPr>
              <w:tab/>
            </w:r>
            <w:r>
              <w:rPr>
                <w:noProof/>
              </w:rPr>
              <w:fldChar w:fldCharType="begin"/>
            </w:r>
            <w:r>
              <w:rPr>
                <w:noProof/>
              </w:rPr>
              <w:instrText xml:space="preserve"> PAGEREF _Toc241614679 \h </w:instrText>
            </w:r>
            <w:r>
              <w:rPr>
                <w:noProof/>
              </w:rPr>
            </w:r>
            <w:r>
              <w:rPr>
                <w:noProof/>
              </w:rPr>
              <w:fldChar w:fldCharType="separate"/>
            </w:r>
            <w:r>
              <w:rPr>
                <w:noProof/>
              </w:rPr>
              <w:t>1</w:t>
            </w:r>
            <w:r>
              <w:rPr>
                <w:noProof/>
              </w:rPr>
              <w:fldChar w:fldCharType="end"/>
            </w:r>
          </w:hyperlink>
        </w:p>
        <w:p w14:paraId="28E2775B" w14:textId="77777777" w:rsidR="00F122A7" w:rsidRDefault="00F122A7">
          <w:pPr>
            <w:pStyle w:val="TOC2"/>
            <w:tabs>
              <w:tab w:val="right" w:leader="dot" w:pos="9402"/>
            </w:tabs>
            <w:rPr>
              <w:noProof/>
            </w:rPr>
          </w:pPr>
          <w:hyperlink w:anchor="_Toc241614680" w:history="1">
            <w:r w:rsidRPr="00EA537A">
              <w:rPr>
                <w:rStyle w:val="Hyperlink"/>
                <w:noProof/>
              </w:rPr>
              <w:t>4.3 Garde-fous</w:t>
            </w:r>
            <w:r>
              <w:rPr>
                <w:noProof/>
              </w:rPr>
              <w:tab/>
            </w:r>
            <w:r>
              <w:rPr>
                <w:noProof/>
              </w:rPr>
              <w:fldChar w:fldCharType="begin"/>
            </w:r>
            <w:r>
              <w:rPr>
                <w:noProof/>
              </w:rPr>
              <w:instrText xml:space="preserve"> PAGEREF _Toc241614680 \h </w:instrText>
            </w:r>
            <w:r>
              <w:rPr>
                <w:noProof/>
              </w:rPr>
            </w:r>
            <w:r>
              <w:rPr>
                <w:noProof/>
              </w:rPr>
              <w:fldChar w:fldCharType="separate"/>
            </w:r>
            <w:r>
              <w:rPr>
                <w:noProof/>
              </w:rPr>
              <w:t>1</w:t>
            </w:r>
            <w:r>
              <w:rPr>
                <w:noProof/>
              </w:rPr>
              <w:fldChar w:fldCharType="end"/>
            </w:r>
          </w:hyperlink>
        </w:p>
        <w:p w14:paraId="1309ADB6" w14:textId="77777777" w:rsidR="00F122A7" w:rsidRDefault="00F122A7">
          <w:pPr>
            <w:pStyle w:val="TOC2"/>
            <w:tabs>
              <w:tab w:val="right" w:leader="dot" w:pos="9402"/>
            </w:tabs>
            <w:rPr>
              <w:noProof/>
            </w:rPr>
          </w:pPr>
          <w:hyperlink w:anchor="_Toc241614681" w:history="1">
            <w:r w:rsidRPr="00EA537A">
              <w:rPr>
                <w:rStyle w:val="Hyperlink"/>
                <w:noProof/>
              </w:rPr>
              <w:t>4.4 Tensions non résolues</w:t>
            </w:r>
            <w:r>
              <w:rPr>
                <w:noProof/>
              </w:rPr>
              <w:tab/>
            </w:r>
            <w:r>
              <w:rPr>
                <w:noProof/>
              </w:rPr>
              <w:fldChar w:fldCharType="begin"/>
            </w:r>
            <w:r>
              <w:rPr>
                <w:noProof/>
              </w:rPr>
              <w:instrText xml:space="preserve"> PAGEREF _Toc241614681 \h </w:instrText>
            </w:r>
            <w:r>
              <w:rPr>
                <w:noProof/>
              </w:rPr>
            </w:r>
            <w:r>
              <w:rPr>
                <w:noProof/>
              </w:rPr>
              <w:fldChar w:fldCharType="separate"/>
            </w:r>
            <w:r>
              <w:rPr>
                <w:noProof/>
              </w:rPr>
              <w:t>1</w:t>
            </w:r>
            <w:r>
              <w:rPr>
                <w:noProof/>
              </w:rPr>
              <w:fldChar w:fldCharType="end"/>
            </w:r>
          </w:hyperlink>
        </w:p>
        <w:p w14:paraId="7559D5D0" w14:textId="77777777" w:rsidR="00F122A7" w:rsidRDefault="00F122A7">
          <w:pPr>
            <w:pStyle w:val="TOC1"/>
            <w:tabs>
              <w:tab w:val="right" w:leader="dot" w:pos="9402"/>
            </w:tabs>
            <w:rPr>
              <w:noProof/>
            </w:rPr>
          </w:pPr>
          <w:hyperlink w:anchor="_Toc241614682" w:history="1">
            <w:r w:rsidRPr="00EA537A">
              <w:rPr>
                <w:rStyle w:val="Hyperlink"/>
                <w:noProof/>
              </w:rPr>
              <w:t>5. Discussion</w:t>
            </w:r>
            <w:r>
              <w:rPr>
                <w:noProof/>
              </w:rPr>
              <w:tab/>
            </w:r>
            <w:r>
              <w:rPr>
                <w:noProof/>
              </w:rPr>
              <w:fldChar w:fldCharType="begin"/>
            </w:r>
            <w:r>
              <w:rPr>
                <w:noProof/>
              </w:rPr>
              <w:instrText xml:space="preserve"> PAGEREF _Toc241614682 \h </w:instrText>
            </w:r>
            <w:r>
              <w:rPr>
                <w:noProof/>
              </w:rPr>
            </w:r>
            <w:r>
              <w:rPr>
                <w:noProof/>
              </w:rPr>
              <w:fldChar w:fldCharType="separate"/>
            </w:r>
            <w:r>
              <w:rPr>
                <w:noProof/>
              </w:rPr>
              <w:t>1</w:t>
            </w:r>
            <w:r>
              <w:rPr>
                <w:noProof/>
              </w:rPr>
              <w:fldChar w:fldCharType="end"/>
            </w:r>
          </w:hyperlink>
        </w:p>
        <w:p w14:paraId="126C7D55" w14:textId="77777777" w:rsidR="00F122A7" w:rsidRDefault="00F122A7">
          <w:pPr>
            <w:pStyle w:val="TOC2"/>
            <w:tabs>
              <w:tab w:val="right" w:leader="dot" w:pos="9402"/>
            </w:tabs>
            <w:rPr>
              <w:noProof/>
            </w:rPr>
          </w:pPr>
          <w:hyperlink w:anchor="_Toc241614683" w:history="1">
            <w:r w:rsidRPr="00EA537A">
              <w:rPr>
                <w:rStyle w:val="Hyperlink"/>
                <w:noProof/>
              </w:rPr>
              <w:t>5.1 Une contrainte institutionnelle plutôt que culturelle</w:t>
            </w:r>
            <w:r>
              <w:rPr>
                <w:noProof/>
              </w:rPr>
              <w:tab/>
            </w:r>
            <w:r>
              <w:rPr>
                <w:noProof/>
              </w:rPr>
              <w:fldChar w:fldCharType="begin"/>
            </w:r>
            <w:r>
              <w:rPr>
                <w:noProof/>
              </w:rPr>
              <w:instrText xml:space="preserve"> PAGEREF _Toc241614683 \h </w:instrText>
            </w:r>
            <w:r>
              <w:rPr>
                <w:noProof/>
              </w:rPr>
            </w:r>
            <w:r>
              <w:rPr>
                <w:noProof/>
              </w:rPr>
              <w:fldChar w:fldCharType="separate"/>
            </w:r>
            <w:r>
              <w:rPr>
                <w:noProof/>
              </w:rPr>
              <w:t>1</w:t>
            </w:r>
            <w:r>
              <w:rPr>
                <w:noProof/>
              </w:rPr>
              <w:fldChar w:fldCharType="end"/>
            </w:r>
          </w:hyperlink>
        </w:p>
        <w:p w14:paraId="6710E797" w14:textId="77777777" w:rsidR="00F122A7" w:rsidRDefault="00F122A7">
          <w:pPr>
            <w:pStyle w:val="TOC2"/>
            <w:tabs>
              <w:tab w:val="right" w:leader="dot" w:pos="9402"/>
            </w:tabs>
            <w:rPr>
              <w:noProof/>
            </w:rPr>
          </w:pPr>
          <w:hyperlink w:anchor="_Toc241614684" w:history="1">
            <w:r w:rsidRPr="00EA537A">
              <w:rPr>
                <w:rStyle w:val="Hyperlink"/>
                <w:noProof/>
              </w:rPr>
              <w:t>5.2 Mesurer avant de promettre</w:t>
            </w:r>
            <w:r>
              <w:rPr>
                <w:noProof/>
              </w:rPr>
              <w:tab/>
            </w:r>
            <w:r>
              <w:rPr>
                <w:noProof/>
              </w:rPr>
              <w:fldChar w:fldCharType="begin"/>
            </w:r>
            <w:r>
              <w:rPr>
                <w:noProof/>
              </w:rPr>
              <w:instrText xml:space="preserve"> PAGEREF _Toc241614684 \h </w:instrText>
            </w:r>
            <w:r>
              <w:rPr>
                <w:noProof/>
              </w:rPr>
            </w:r>
            <w:r>
              <w:rPr>
                <w:noProof/>
              </w:rPr>
              <w:fldChar w:fldCharType="separate"/>
            </w:r>
            <w:r>
              <w:rPr>
                <w:noProof/>
              </w:rPr>
              <w:t>1</w:t>
            </w:r>
            <w:r>
              <w:rPr>
                <w:noProof/>
              </w:rPr>
              <w:fldChar w:fldCharType="end"/>
            </w:r>
          </w:hyperlink>
        </w:p>
        <w:p w14:paraId="0E917129" w14:textId="77777777" w:rsidR="00F122A7" w:rsidRDefault="00F122A7">
          <w:pPr>
            <w:pStyle w:val="TOC2"/>
            <w:tabs>
              <w:tab w:val="right" w:leader="dot" w:pos="9402"/>
            </w:tabs>
            <w:rPr>
              <w:noProof/>
            </w:rPr>
          </w:pPr>
          <w:hyperlink w:anchor="_Toc241614685" w:history="1">
            <w:r w:rsidRPr="00EA537A">
              <w:rPr>
                <w:rStyle w:val="Hyperlink"/>
                <w:noProof/>
              </w:rPr>
              <w:t>5.3 Marchandiser sans dénaturer</w:t>
            </w:r>
            <w:r>
              <w:rPr>
                <w:noProof/>
              </w:rPr>
              <w:tab/>
            </w:r>
            <w:r>
              <w:rPr>
                <w:noProof/>
              </w:rPr>
              <w:fldChar w:fldCharType="begin"/>
            </w:r>
            <w:r>
              <w:rPr>
                <w:noProof/>
              </w:rPr>
              <w:instrText xml:space="preserve"> PAGEREF _Toc241614685 \h </w:instrText>
            </w:r>
            <w:r>
              <w:rPr>
                <w:noProof/>
              </w:rPr>
            </w:r>
            <w:r>
              <w:rPr>
                <w:noProof/>
              </w:rPr>
              <w:fldChar w:fldCharType="separate"/>
            </w:r>
            <w:r>
              <w:rPr>
                <w:noProof/>
              </w:rPr>
              <w:t>1</w:t>
            </w:r>
            <w:r>
              <w:rPr>
                <w:noProof/>
              </w:rPr>
              <w:fldChar w:fldCharType="end"/>
            </w:r>
          </w:hyperlink>
        </w:p>
        <w:p w14:paraId="7CAEFB8C" w14:textId="77777777" w:rsidR="00F122A7" w:rsidRDefault="00F122A7">
          <w:pPr>
            <w:pStyle w:val="TOC2"/>
            <w:tabs>
              <w:tab w:val="right" w:leader="dot" w:pos="9402"/>
            </w:tabs>
            <w:rPr>
              <w:noProof/>
            </w:rPr>
          </w:pPr>
          <w:hyperlink w:anchor="_Toc241614686" w:history="1">
            <w:r w:rsidRPr="00EA537A">
              <w:rPr>
                <w:rStyle w:val="Hyperlink"/>
                <w:noProof/>
              </w:rPr>
              <w:t>5.4 Une dépendance peut-être récente</w:t>
            </w:r>
            <w:r>
              <w:rPr>
                <w:noProof/>
              </w:rPr>
              <w:tab/>
            </w:r>
            <w:r>
              <w:rPr>
                <w:noProof/>
              </w:rPr>
              <w:fldChar w:fldCharType="begin"/>
            </w:r>
            <w:r>
              <w:rPr>
                <w:noProof/>
              </w:rPr>
              <w:instrText xml:space="preserve"> PAGEREF _Toc241614686 \h </w:instrText>
            </w:r>
            <w:r>
              <w:rPr>
                <w:noProof/>
              </w:rPr>
            </w:r>
            <w:r>
              <w:rPr>
                <w:noProof/>
              </w:rPr>
              <w:fldChar w:fldCharType="separate"/>
            </w:r>
            <w:r>
              <w:rPr>
                <w:noProof/>
              </w:rPr>
              <w:t>1</w:t>
            </w:r>
            <w:r>
              <w:rPr>
                <w:noProof/>
              </w:rPr>
              <w:fldChar w:fldCharType="end"/>
            </w:r>
          </w:hyperlink>
        </w:p>
        <w:p w14:paraId="5FF518E7" w14:textId="77777777" w:rsidR="00F122A7" w:rsidRDefault="00F122A7">
          <w:pPr>
            <w:pStyle w:val="TOC2"/>
            <w:tabs>
              <w:tab w:val="right" w:leader="dot" w:pos="9402"/>
            </w:tabs>
            <w:rPr>
              <w:noProof/>
            </w:rPr>
          </w:pPr>
          <w:hyperlink w:anchor="_Toc241614687" w:history="1">
            <w:r w:rsidRPr="00EA537A">
              <w:rPr>
                <w:rStyle w:val="Hyperlink"/>
                <w:noProof/>
              </w:rPr>
              <w:t>5.5 Un diagnostic porté par des institutions sur les institutions</w:t>
            </w:r>
            <w:r>
              <w:rPr>
                <w:noProof/>
              </w:rPr>
              <w:tab/>
            </w:r>
            <w:r>
              <w:rPr>
                <w:noProof/>
              </w:rPr>
              <w:fldChar w:fldCharType="begin"/>
            </w:r>
            <w:r>
              <w:rPr>
                <w:noProof/>
              </w:rPr>
              <w:instrText xml:space="preserve"> PAGEREF _Toc241614687 \h </w:instrText>
            </w:r>
            <w:r>
              <w:rPr>
                <w:noProof/>
              </w:rPr>
            </w:r>
            <w:r>
              <w:rPr>
                <w:noProof/>
              </w:rPr>
              <w:fldChar w:fldCharType="separate"/>
            </w:r>
            <w:r>
              <w:rPr>
                <w:noProof/>
              </w:rPr>
              <w:t>1</w:t>
            </w:r>
            <w:r>
              <w:rPr>
                <w:noProof/>
              </w:rPr>
              <w:fldChar w:fldCharType="end"/>
            </w:r>
          </w:hyperlink>
        </w:p>
        <w:p w14:paraId="58C93719" w14:textId="77777777" w:rsidR="00F122A7" w:rsidRDefault="00F122A7">
          <w:pPr>
            <w:pStyle w:val="TOC1"/>
            <w:tabs>
              <w:tab w:val="right" w:leader="dot" w:pos="9402"/>
            </w:tabs>
            <w:rPr>
              <w:noProof/>
            </w:rPr>
          </w:pPr>
          <w:hyperlink w:anchor="_Toc241614688" w:history="1">
            <w:r w:rsidRPr="00EA537A">
              <w:rPr>
                <w:rStyle w:val="Hyperlink"/>
                <w:noProof/>
              </w:rPr>
              <w:t>6. Propositions</w:t>
            </w:r>
            <w:r>
              <w:rPr>
                <w:noProof/>
              </w:rPr>
              <w:tab/>
            </w:r>
            <w:r>
              <w:rPr>
                <w:noProof/>
              </w:rPr>
              <w:fldChar w:fldCharType="begin"/>
            </w:r>
            <w:r>
              <w:rPr>
                <w:noProof/>
              </w:rPr>
              <w:instrText xml:space="preserve"> PAGEREF _Toc241614688 \h </w:instrText>
            </w:r>
            <w:r>
              <w:rPr>
                <w:noProof/>
              </w:rPr>
            </w:r>
            <w:r>
              <w:rPr>
                <w:noProof/>
              </w:rPr>
              <w:fldChar w:fldCharType="separate"/>
            </w:r>
            <w:r>
              <w:rPr>
                <w:noProof/>
              </w:rPr>
              <w:t>1</w:t>
            </w:r>
            <w:r>
              <w:rPr>
                <w:noProof/>
              </w:rPr>
              <w:fldChar w:fldCharType="end"/>
            </w:r>
          </w:hyperlink>
        </w:p>
        <w:p w14:paraId="3A53AA7A" w14:textId="77777777" w:rsidR="00F122A7" w:rsidRDefault="00F122A7">
          <w:pPr>
            <w:pStyle w:val="TOC2"/>
            <w:tabs>
              <w:tab w:val="right" w:leader="dot" w:pos="9402"/>
            </w:tabs>
            <w:rPr>
              <w:noProof/>
            </w:rPr>
          </w:pPr>
          <w:hyperlink w:anchor="_Toc241614689" w:history="1">
            <w:r w:rsidRPr="00EA537A">
              <w:rPr>
                <w:rStyle w:val="Hyperlink"/>
                <w:noProof/>
              </w:rPr>
              <w:t>6.1 Architecture de gouvernance</w:t>
            </w:r>
            <w:r>
              <w:rPr>
                <w:noProof/>
              </w:rPr>
              <w:tab/>
            </w:r>
            <w:r>
              <w:rPr>
                <w:noProof/>
              </w:rPr>
              <w:fldChar w:fldCharType="begin"/>
            </w:r>
            <w:r>
              <w:rPr>
                <w:noProof/>
              </w:rPr>
              <w:instrText xml:space="preserve"> PAGEREF _Toc241614689 \h </w:instrText>
            </w:r>
            <w:r>
              <w:rPr>
                <w:noProof/>
              </w:rPr>
            </w:r>
            <w:r>
              <w:rPr>
                <w:noProof/>
              </w:rPr>
              <w:fldChar w:fldCharType="separate"/>
            </w:r>
            <w:r>
              <w:rPr>
                <w:noProof/>
              </w:rPr>
              <w:t>1</w:t>
            </w:r>
            <w:r>
              <w:rPr>
                <w:noProof/>
              </w:rPr>
              <w:fldChar w:fldCharType="end"/>
            </w:r>
          </w:hyperlink>
        </w:p>
        <w:p w14:paraId="36BFCF7B" w14:textId="77777777" w:rsidR="00F122A7" w:rsidRDefault="00F122A7">
          <w:pPr>
            <w:pStyle w:val="TOC2"/>
            <w:tabs>
              <w:tab w:val="right" w:leader="dot" w:pos="9402"/>
            </w:tabs>
            <w:rPr>
              <w:noProof/>
            </w:rPr>
          </w:pPr>
          <w:hyperlink w:anchor="_Toc241614690" w:history="1">
            <w:r w:rsidRPr="00EA537A">
              <w:rPr>
                <w:rStyle w:val="Hyperlink"/>
                <w:noProof/>
              </w:rPr>
              <w:t>6.2 Recommandations</w:t>
            </w:r>
            <w:r>
              <w:rPr>
                <w:noProof/>
              </w:rPr>
              <w:tab/>
            </w:r>
            <w:r>
              <w:rPr>
                <w:noProof/>
              </w:rPr>
              <w:fldChar w:fldCharType="begin"/>
            </w:r>
            <w:r>
              <w:rPr>
                <w:noProof/>
              </w:rPr>
              <w:instrText xml:space="preserve"> PAGEREF _Toc241614690 \h </w:instrText>
            </w:r>
            <w:r>
              <w:rPr>
                <w:noProof/>
              </w:rPr>
            </w:r>
            <w:r>
              <w:rPr>
                <w:noProof/>
              </w:rPr>
              <w:fldChar w:fldCharType="separate"/>
            </w:r>
            <w:r>
              <w:rPr>
                <w:noProof/>
              </w:rPr>
              <w:t>1</w:t>
            </w:r>
            <w:r>
              <w:rPr>
                <w:noProof/>
              </w:rPr>
              <w:fldChar w:fldCharType="end"/>
            </w:r>
          </w:hyperlink>
        </w:p>
        <w:p w14:paraId="77876E42" w14:textId="77777777" w:rsidR="00F122A7" w:rsidRDefault="00F122A7">
          <w:pPr>
            <w:pStyle w:val="TOC2"/>
            <w:tabs>
              <w:tab w:val="right" w:leader="dot" w:pos="9402"/>
            </w:tabs>
            <w:rPr>
              <w:noProof/>
            </w:rPr>
          </w:pPr>
          <w:hyperlink w:anchor="_Toc241614691" w:history="1">
            <w:r w:rsidRPr="00EA537A">
              <w:rPr>
                <w:rStyle w:val="Hyperlink"/>
                <w:noProof/>
              </w:rPr>
              <w:t>6.3 Observatoire</w:t>
            </w:r>
            <w:r>
              <w:rPr>
                <w:noProof/>
              </w:rPr>
              <w:tab/>
            </w:r>
            <w:r>
              <w:rPr>
                <w:noProof/>
              </w:rPr>
              <w:fldChar w:fldCharType="begin"/>
            </w:r>
            <w:r>
              <w:rPr>
                <w:noProof/>
              </w:rPr>
              <w:instrText xml:space="preserve"> PAGEREF _Toc241614691 \h </w:instrText>
            </w:r>
            <w:r>
              <w:rPr>
                <w:noProof/>
              </w:rPr>
            </w:r>
            <w:r>
              <w:rPr>
                <w:noProof/>
              </w:rPr>
              <w:fldChar w:fldCharType="separate"/>
            </w:r>
            <w:r>
              <w:rPr>
                <w:noProof/>
              </w:rPr>
              <w:t>1</w:t>
            </w:r>
            <w:r>
              <w:rPr>
                <w:noProof/>
              </w:rPr>
              <w:fldChar w:fldCharType="end"/>
            </w:r>
          </w:hyperlink>
        </w:p>
        <w:p w14:paraId="219DCC3F" w14:textId="77777777" w:rsidR="00F122A7" w:rsidRDefault="00F122A7">
          <w:pPr>
            <w:pStyle w:val="TOC2"/>
            <w:tabs>
              <w:tab w:val="right" w:leader="dot" w:pos="9402"/>
            </w:tabs>
            <w:rPr>
              <w:noProof/>
            </w:rPr>
          </w:pPr>
          <w:hyperlink w:anchor="_Toc241614692" w:history="1">
            <w:r w:rsidRPr="00EA537A">
              <w:rPr>
                <w:rStyle w:val="Hyperlink"/>
                <w:noProof/>
              </w:rPr>
              <w:t>6.4 Programme expérimental 2027</w:t>
            </w:r>
            <w:r>
              <w:rPr>
                <w:noProof/>
              </w:rPr>
              <w:tab/>
            </w:r>
            <w:r>
              <w:rPr>
                <w:noProof/>
              </w:rPr>
              <w:fldChar w:fldCharType="begin"/>
            </w:r>
            <w:r>
              <w:rPr>
                <w:noProof/>
              </w:rPr>
              <w:instrText xml:space="preserve"> PAGEREF _Toc241614692 \h </w:instrText>
            </w:r>
            <w:r>
              <w:rPr>
                <w:noProof/>
              </w:rPr>
            </w:r>
            <w:r>
              <w:rPr>
                <w:noProof/>
              </w:rPr>
              <w:fldChar w:fldCharType="separate"/>
            </w:r>
            <w:r>
              <w:rPr>
                <w:noProof/>
              </w:rPr>
              <w:t>1</w:t>
            </w:r>
            <w:r>
              <w:rPr>
                <w:noProof/>
              </w:rPr>
              <w:fldChar w:fldCharType="end"/>
            </w:r>
          </w:hyperlink>
        </w:p>
        <w:p w14:paraId="3DB14083" w14:textId="77777777" w:rsidR="00F122A7" w:rsidRDefault="00F122A7">
          <w:pPr>
            <w:pStyle w:val="TOC1"/>
            <w:tabs>
              <w:tab w:val="right" w:leader="dot" w:pos="9402"/>
            </w:tabs>
            <w:rPr>
              <w:noProof/>
            </w:rPr>
          </w:pPr>
          <w:hyperlink w:anchor="_Toc241614693" w:history="1">
            <w:r w:rsidRPr="00EA537A">
              <w:rPr>
                <w:rStyle w:val="Hyperlink"/>
                <w:noProof/>
              </w:rPr>
              <w:t>7. Limites</w:t>
            </w:r>
            <w:r>
              <w:rPr>
                <w:noProof/>
              </w:rPr>
              <w:tab/>
            </w:r>
            <w:r>
              <w:rPr>
                <w:noProof/>
              </w:rPr>
              <w:fldChar w:fldCharType="begin"/>
            </w:r>
            <w:r>
              <w:rPr>
                <w:noProof/>
              </w:rPr>
              <w:instrText xml:space="preserve"> PAGEREF _Toc241614693 \h </w:instrText>
            </w:r>
            <w:r>
              <w:rPr>
                <w:noProof/>
              </w:rPr>
            </w:r>
            <w:r>
              <w:rPr>
                <w:noProof/>
              </w:rPr>
              <w:fldChar w:fldCharType="separate"/>
            </w:r>
            <w:r>
              <w:rPr>
                <w:noProof/>
              </w:rPr>
              <w:t>1</w:t>
            </w:r>
            <w:r>
              <w:rPr>
                <w:noProof/>
              </w:rPr>
              <w:fldChar w:fldCharType="end"/>
            </w:r>
          </w:hyperlink>
        </w:p>
        <w:p w14:paraId="5404C133" w14:textId="77777777" w:rsidR="00F122A7" w:rsidRDefault="00F122A7">
          <w:pPr>
            <w:pStyle w:val="TOC2"/>
            <w:tabs>
              <w:tab w:val="right" w:leader="dot" w:pos="9402"/>
            </w:tabs>
            <w:rPr>
              <w:noProof/>
            </w:rPr>
          </w:pPr>
          <w:hyperlink w:anchor="_Toc241614694" w:history="1">
            <w:r w:rsidRPr="00EA537A">
              <w:rPr>
                <w:rStyle w:val="Hyperlink"/>
                <w:noProof/>
              </w:rPr>
              <w:t>7.1 Ce que l'étude ne permet pas de conclure</w:t>
            </w:r>
            <w:r>
              <w:rPr>
                <w:noProof/>
              </w:rPr>
              <w:tab/>
            </w:r>
            <w:r>
              <w:rPr>
                <w:noProof/>
              </w:rPr>
              <w:fldChar w:fldCharType="begin"/>
            </w:r>
            <w:r>
              <w:rPr>
                <w:noProof/>
              </w:rPr>
              <w:instrText xml:space="preserve"> PAGEREF _Toc241614694 \h </w:instrText>
            </w:r>
            <w:r>
              <w:rPr>
                <w:noProof/>
              </w:rPr>
            </w:r>
            <w:r>
              <w:rPr>
                <w:noProof/>
              </w:rPr>
              <w:fldChar w:fldCharType="separate"/>
            </w:r>
            <w:r>
              <w:rPr>
                <w:noProof/>
              </w:rPr>
              <w:t>1</w:t>
            </w:r>
            <w:r>
              <w:rPr>
                <w:noProof/>
              </w:rPr>
              <w:fldChar w:fldCharType="end"/>
            </w:r>
          </w:hyperlink>
        </w:p>
        <w:p w14:paraId="557492AC" w14:textId="77777777" w:rsidR="00F122A7" w:rsidRDefault="00F122A7">
          <w:pPr>
            <w:pStyle w:val="TOC2"/>
            <w:tabs>
              <w:tab w:val="right" w:leader="dot" w:pos="9402"/>
            </w:tabs>
            <w:rPr>
              <w:noProof/>
            </w:rPr>
          </w:pPr>
          <w:hyperlink w:anchor="_Toc241614695" w:history="1">
            <w:r w:rsidRPr="00EA537A">
              <w:rPr>
                <w:rStyle w:val="Hyperlink"/>
                <w:noProof/>
              </w:rPr>
              <w:t>7.2 Biais de sélection</w:t>
            </w:r>
            <w:r>
              <w:rPr>
                <w:noProof/>
              </w:rPr>
              <w:tab/>
            </w:r>
            <w:r>
              <w:rPr>
                <w:noProof/>
              </w:rPr>
              <w:fldChar w:fldCharType="begin"/>
            </w:r>
            <w:r>
              <w:rPr>
                <w:noProof/>
              </w:rPr>
              <w:instrText xml:space="preserve"> PAGEREF _Toc241614695 \h </w:instrText>
            </w:r>
            <w:r>
              <w:rPr>
                <w:noProof/>
              </w:rPr>
            </w:r>
            <w:r>
              <w:rPr>
                <w:noProof/>
              </w:rPr>
              <w:fldChar w:fldCharType="separate"/>
            </w:r>
            <w:r>
              <w:rPr>
                <w:noProof/>
              </w:rPr>
              <w:t>1</w:t>
            </w:r>
            <w:r>
              <w:rPr>
                <w:noProof/>
              </w:rPr>
              <w:fldChar w:fldCharType="end"/>
            </w:r>
          </w:hyperlink>
        </w:p>
        <w:p w14:paraId="742BC5D2" w14:textId="77777777" w:rsidR="00F122A7" w:rsidRDefault="00F122A7">
          <w:pPr>
            <w:pStyle w:val="TOC2"/>
            <w:tabs>
              <w:tab w:val="right" w:leader="dot" w:pos="9402"/>
            </w:tabs>
            <w:rPr>
              <w:noProof/>
            </w:rPr>
          </w:pPr>
          <w:hyperlink w:anchor="_Toc241614696" w:history="1">
            <w:r w:rsidRPr="00EA537A">
              <w:rPr>
                <w:rStyle w:val="Hyperlink"/>
                <w:noProof/>
              </w:rPr>
              <w:t>7.3 Qualité des sources</w:t>
            </w:r>
            <w:r>
              <w:rPr>
                <w:noProof/>
              </w:rPr>
              <w:tab/>
            </w:r>
            <w:r>
              <w:rPr>
                <w:noProof/>
              </w:rPr>
              <w:fldChar w:fldCharType="begin"/>
            </w:r>
            <w:r>
              <w:rPr>
                <w:noProof/>
              </w:rPr>
              <w:instrText xml:space="preserve"> PAGEREF _Toc241614696 \h </w:instrText>
            </w:r>
            <w:r>
              <w:rPr>
                <w:noProof/>
              </w:rPr>
            </w:r>
            <w:r>
              <w:rPr>
                <w:noProof/>
              </w:rPr>
              <w:fldChar w:fldCharType="separate"/>
            </w:r>
            <w:r>
              <w:rPr>
                <w:noProof/>
              </w:rPr>
              <w:t>1</w:t>
            </w:r>
            <w:r>
              <w:rPr>
                <w:noProof/>
              </w:rPr>
              <w:fldChar w:fldCharType="end"/>
            </w:r>
          </w:hyperlink>
        </w:p>
        <w:p w14:paraId="4E50F45C" w14:textId="77777777" w:rsidR="00F122A7" w:rsidRDefault="00F122A7">
          <w:pPr>
            <w:pStyle w:val="TOC2"/>
            <w:tabs>
              <w:tab w:val="right" w:leader="dot" w:pos="9402"/>
            </w:tabs>
            <w:rPr>
              <w:noProof/>
            </w:rPr>
          </w:pPr>
          <w:hyperlink w:anchor="_Toc241614697" w:history="1">
            <w:r w:rsidRPr="00EA537A">
              <w:rPr>
                <w:rStyle w:val="Hyperlink"/>
                <w:noProof/>
              </w:rPr>
              <w:t>7.4 Statut déclaratif des données</w:t>
            </w:r>
            <w:r>
              <w:rPr>
                <w:noProof/>
              </w:rPr>
              <w:tab/>
            </w:r>
            <w:r>
              <w:rPr>
                <w:noProof/>
              </w:rPr>
              <w:fldChar w:fldCharType="begin"/>
            </w:r>
            <w:r>
              <w:rPr>
                <w:noProof/>
              </w:rPr>
              <w:instrText xml:space="preserve"> PAGEREF _Toc241614697 \h </w:instrText>
            </w:r>
            <w:r>
              <w:rPr>
                <w:noProof/>
              </w:rPr>
            </w:r>
            <w:r>
              <w:rPr>
                <w:noProof/>
              </w:rPr>
              <w:fldChar w:fldCharType="separate"/>
            </w:r>
            <w:r>
              <w:rPr>
                <w:noProof/>
              </w:rPr>
              <w:t>1</w:t>
            </w:r>
            <w:r>
              <w:rPr>
                <w:noProof/>
              </w:rPr>
              <w:fldChar w:fldCharType="end"/>
            </w:r>
          </w:hyperlink>
        </w:p>
        <w:p w14:paraId="12BB5CFE" w14:textId="77777777" w:rsidR="00F122A7" w:rsidRDefault="00F122A7">
          <w:pPr>
            <w:pStyle w:val="TOC2"/>
            <w:tabs>
              <w:tab w:val="right" w:leader="dot" w:pos="9402"/>
            </w:tabs>
            <w:rPr>
              <w:noProof/>
            </w:rPr>
          </w:pPr>
          <w:hyperlink w:anchor="_Toc241614698" w:history="1">
            <w:r w:rsidRPr="00EA537A">
              <w:rPr>
                <w:rStyle w:val="Hyperlink"/>
                <w:noProof/>
              </w:rPr>
              <w:t>7.5 Positionnement de l'auteur</w:t>
            </w:r>
            <w:r>
              <w:rPr>
                <w:noProof/>
              </w:rPr>
              <w:tab/>
            </w:r>
            <w:r>
              <w:rPr>
                <w:noProof/>
              </w:rPr>
              <w:fldChar w:fldCharType="begin"/>
            </w:r>
            <w:r>
              <w:rPr>
                <w:noProof/>
              </w:rPr>
              <w:instrText xml:space="preserve"> PAGEREF _Toc241614698 \h </w:instrText>
            </w:r>
            <w:r>
              <w:rPr>
                <w:noProof/>
              </w:rPr>
            </w:r>
            <w:r>
              <w:rPr>
                <w:noProof/>
              </w:rPr>
              <w:fldChar w:fldCharType="separate"/>
            </w:r>
            <w:r>
              <w:rPr>
                <w:noProof/>
              </w:rPr>
              <w:t>1</w:t>
            </w:r>
            <w:r>
              <w:rPr>
                <w:noProof/>
              </w:rPr>
              <w:fldChar w:fldCharType="end"/>
            </w:r>
          </w:hyperlink>
        </w:p>
        <w:p w14:paraId="38EB4182" w14:textId="77777777" w:rsidR="00F122A7" w:rsidRDefault="00F122A7">
          <w:pPr>
            <w:pStyle w:val="TOC2"/>
            <w:tabs>
              <w:tab w:val="right" w:leader="dot" w:pos="9402"/>
            </w:tabs>
            <w:rPr>
              <w:noProof/>
            </w:rPr>
          </w:pPr>
          <w:hyperlink w:anchor="_Toc241614699" w:history="1">
            <w:r w:rsidRPr="00EA537A">
              <w:rPr>
                <w:rStyle w:val="Hyperlink"/>
                <w:noProof/>
              </w:rPr>
              <w:t>7.6 Validation</w:t>
            </w:r>
            <w:r>
              <w:rPr>
                <w:noProof/>
              </w:rPr>
              <w:tab/>
            </w:r>
            <w:r>
              <w:rPr>
                <w:noProof/>
              </w:rPr>
              <w:fldChar w:fldCharType="begin"/>
            </w:r>
            <w:r>
              <w:rPr>
                <w:noProof/>
              </w:rPr>
              <w:instrText xml:space="preserve"> PAGEREF _Toc241614699 \h </w:instrText>
            </w:r>
            <w:r>
              <w:rPr>
                <w:noProof/>
              </w:rPr>
            </w:r>
            <w:r>
              <w:rPr>
                <w:noProof/>
              </w:rPr>
              <w:fldChar w:fldCharType="separate"/>
            </w:r>
            <w:r>
              <w:rPr>
                <w:noProof/>
              </w:rPr>
              <w:t>1</w:t>
            </w:r>
            <w:r>
              <w:rPr>
                <w:noProof/>
              </w:rPr>
              <w:fldChar w:fldCharType="end"/>
            </w:r>
          </w:hyperlink>
        </w:p>
        <w:p w14:paraId="343CEBC6" w14:textId="77777777" w:rsidR="00F122A7" w:rsidRDefault="00F122A7">
          <w:pPr>
            <w:pStyle w:val="TOC1"/>
            <w:tabs>
              <w:tab w:val="right" w:leader="dot" w:pos="9402"/>
            </w:tabs>
            <w:rPr>
              <w:noProof/>
            </w:rPr>
          </w:pPr>
          <w:hyperlink w:anchor="_Toc241614700" w:history="1">
            <w:r w:rsidRPr="00EA537A">
              <w:rPr>
                <w:rStyle w:val="Hyperlink"/>
                <w:noProof/>
              </w:rPr>
              <w:t>8. Programme de recherche</w:t>
            </w:r>
            <w:r>
              <w:rPr>
                <w:noProof/>
              </w:rPr>
              <w:tab/>
            </w:r>
            <w:r>
              <w:rPr>
                <w:noProof/>
              </w:rPr>
              <w:fldChar w:fldCharType="begin"/>
            </w:r>
            <w:r>
              <w:rPr>
                <w:noProof/>
              </w:rPr>
              <w:instrText xml:space="preserve"> PAGEREF _Toc241614700 \h </w:instrText>
            </w:r>
            <w:r>
              <w:rPr>
                <w:noProof/>
              </w:rPr>
            </w:r>
            <w:r>
              <w:rPr>
                <w:noProof/>
              </w:rPr>
              <w:fldChar w:fldCharType="separate"/>
            </w:r>
            <w:r>
              <w:rPr>
                <w:noProof/>
              </w:rPr>
              <w:t>1</w:t>
            </w:r>
            <w:r>
              <w:rPr>
                <w:noProof/>
              </w:rPr>
              <w:fldChar w:fldCharType="end"/>
            </w:r>
          </w:hyperlink>
        </w:p>
        <w:p w14:paraId="202DD2B7" w14:textId="77777777" w:rsidR="00F122A7" w:rsidRDefault="00F122A7">
          <w:pPr>
            <w:pStyle w:val="TOC1"/>
            <w:tabs>
              <w:tab w:val="right" w:leader="dot" w:pos="9402"/>
            </w:tabs>
            <w:rPr>
              <w:noProof/>
            </w:rPr>
          </w:pPr>
          <w:hyperlink w:anchor="_Toc241614701" w:history="1">
            <w:r w:rsidRPr="00EA537A">
              <w:rPr>
                <w:rStyle w:val="Hyperlink"/>
                <w:noProof/>
              </w:rPr>
              <w:t>Références</w:t>
            </w:r>
            <w:r>
              <w:rPr>
                <w:noProof/>
              </w:rPr>
              <w:tab/>
            </w:r>
            <w:r>
              <w:rPr>
                <w:noProof/>
              </w:rPr>
              <w:fldChar w:fldCharType="begin"/>
            </w:r>
            <w:r>
              <w:rPr>
                <w:noProof/>
              </w:rPr>
              <w:instrText xml:space="preserve"> PAGEREF _Toc241614701 \h </w:instrText>
            </w:r>
            <w:r>
              <w:rPr>
                <w:noProof/>
              </w:rPr>
            </w:r>
            <w:r>
              <w:rPr>
                <w:noProof/>
              </w:rPr>
              <w:fldChar w:fldCharType="separate"/>
            </w:r>
            <w:r>
              <w:rPr>
                <w:noProof/>
              </w:rPr>
              <w:t>1</w:t>
            </w:r>
            <w:r>
              <w:rPr>
                <w:noProof/>
              </w:rPr>
              <w:fldChar w:fldCharType="end"/>
            </w:r>
          </w:hyperlink>
        </w:p>
        <w:p w14:paraId="18F96A69" w14:textId="77777777" w:rsidR="00F122A7" w:rsidRDefault="00F122A7">
          <w:pPr>
            <w:pStyle w:val="TOC1"/>
            <w:tabs>
              <w:tab w:val="right" w:leader="dot" w:pos="9402"/>
            </w:tabs>
            <w:rPr>
              <w:noProof/>
            </w:rPr>
          </w:pPr>
          <w:hyperlink w:anchor="_Toc241614702" w:history="1">
            <w:r w:rsidRPr="00EA537A">
              <w:rPr>
                <w:rStyle w:val="Hyperlink"/>
                <w:noProof/>
              </w:rPr>
              <w:t>Annexes</w:t>
            </w:r>
            <w:r>
              <w:rPr>
                <w:noProof/>
              </w:rPr>
              <w:tab/>
            </w:r>
            <w:r>
              <w:rPr>
                <w:noProof/>
              </w:rPr>
              <w:fldChar w:fldCharType="begin"/>
            </w:r>
            <w:r>
              <w:rPr>
                <w:noProof/>
              </w:rPr>
              <w:instrText xml:space="preserve"> PAGEREF _Toc241614702 \h </w:instrText>
            </w:r>
            <w:r>
              <w:rPr>
                <w:noProof/>
              </w:rPr>
            </w:r>
            <w:r>
              <w:rPr>
                <w:noProof/>
              </w:rPr>
              <w:fldChar w:fldCharType="separate"/>
            </w:r>
            <w:r>
              <w:rPr>
                <w:noProof/>
              </w:rPr>
              <w:t>1</w:t>
            </w:r>
            <w:r>
              <w:rPr>
                <w:noProof/>
              </w:rPr>
              <w:fldChar w:fldCharType="end"/>
            </w:r>
          </w:hyperlink>
        </w:p>
        <w:p w14:paraId="3373ECE7" w14:textId="77777777" w:rsidR="00F122A7" w:rsidRDefault="00F122A7">
          <w:pPr>
            <w:pStyle w:val="TOC2"/>
            <w:tabs>
              <w:tab w:val="right" w:leader="dot" w:pos="9402"/>
            </w:tabs>
            <w:rPr>
              <w:noProof/>
            </w:rPr>
          </w:pPr>
          <w:hyperlink w:anchor="_Toc241614703" w:history="1">
            <w:r w:rsidRPr="00EA537A">
              <w:rPr>
                <w:rStyle w:val="Hyperlink"/>
                <w:noProof/>
              </w:rPr>
              <w:t>Annexe A. Inventaire des sources</w:t>
            </w:r>
            <w:r>
              <w:rPr>
                <w:noProof/>
              </w:rPr>
              <w:tab/>
            </w:r>
            <w:r>
              <w:rPr>
                <w:noProof/>
              </w:rPr>
              <w:fldChar w:fldCharType="begin"/>
            </w:r>
            <w:r>
              <w:rPr>
                <w:noProof/>
              </w:rPr>
              <w:instrText xml:space="preserve"> PAGEREF _Toc241614703 \h </w:instrText>
            </w:r>
            <w:r>
              <w:rPr>
                <w:noProof/>
              </w:rPr>
            </w:r>
            <w:r>
              <w:rPr>
                <w:noProof/>
              </w:rPr>
              <w:fldChar w:fldCharType="separate"/>
            </w:r>
            <w:r>
              <w:rPr>
                <w:noProof/>
              </w:rPr>
              <w:t>1</w:t>
            </w:r>
            <w:r>
              <w:rPr>
                <w:noProof/>
              </w:rPr>
              <w:fldChar w:fldCharType="end"/>
            </w:r>
          </w:hyperlink>
        </w:p>
        <w:p w14:paraId="01541A96" w14:textId="77777777" w:rsidR="00F122A7" w:rsidRDefault="00F122A7">
          <w:pPr>
            <w:pStyle w:val="TOC2"/>
            <w:tabs>
              <w:tab w:val="right" w:leader="dot" w:pos="9402"/>
            </w:tabs>
            <w:rPr>
              <w:noProof/>
            </w:rPr>
          </w:pPr>
          <w:hyperlink w:anchor="_Toc241614704" w:history="1">
            <w:r w:rsidRPr="00EA537A">
              <w:rPr>
                <w:rStyle w:val="Hyperlink"/>
                <w:noProof/>
              </w:rPr>
              <w:t>Annexe B. Déclarations chiffrées</w:t>
            </w:r>
            <w:r>
              <w:rPr>
                <w:noProof/>
              </w:rPr>
              <w:tab/>
            </w:r>
            <w:r>
              <w:rPr>
                <w:noProof/>
              </w:rPr>
              <w:fldChar w:fldCharType="begin"/>
            </w:r>
            <w:r>
              <w:rPr>
                <w:noProof/>
              </w:rPr>
              <w:instrText xml:space="preserve"> PAGEREF _Toc241614704 \h </w:instrText>
            </w:r>
            <w:r>
              <w:rPr>
                <w:noProof/>
              </w:rPr>
            </w:r>
            <w:r>
              <w:rPr>
                <w:noProof/>
              </w:rPr>
              <w:fldChar w:fldCharType="separate"/>
            </w:r>
            <w:r>
              <w:rPr>
                <w:noProof/>
              </w:rPr>
              <w:t>1</w:t>
            </w:r>
            <w:r>
              <w:rPr>
                <w:noProof/>
              </w:rPr>
              <w:fldChar w:fldCharType="end"/>
            </w:r>
          </w:hyperlink>
        </w:p>
        <w:p w14:paraId="128C969B" w14:textId="77777777" w:rsidR="00F122A7" w:rsidRDefault="00F122A7">
          <w:pPr>
            <w:pStyle w:val="TOC2"/>
            <w:tabs>
              <w:tab w:val="right" w:leader="dot" w:pos="9402"/>
            </w:tabs>
            <w:rPr>
              <w:noProof/>
            </w:rPr>
          </w:pPr>
          <w:hyperlink w:anchor="_Toc241614705" w:history="1">
            <w:r w:rsidRPr="00EA537A">
              <w:rPr>
                <w:rStyle w:val="Hyperlink"/>
                <w:noProof/>
              </w:rPr>
              <w:t>Annexe C. Les dix orientations de Jason, versions écrite et orale</w:t>
            </w:r>
            <w:r>
              <w:rPr>
                <w:noProof/>
              </w:rPr>
              <w:tab/>
            </w:r>
            <w:r>
              <w:rPr>
                <w:noProof/>
              </w:rPr>
              <w:fldChar w:fldCharType="begin"/>
            </w:r>
            <w:r>
              <w:rPr>
                <w:noProof/>
              </w:rPr>
              <w:instrText xml:space="preserve"> PAGEREF _Toc241614705 \h </w:instrText>
            </w:r>
            <w:r>
              <w:rPr>
                <w:noProof/>
              </w:rPr>
            </w:r>
            <w:r>
              <w:rPr>
                <w:noProof/>
              </w:rPr>
              <w:fldChar w:fldCharType="separate"/>
            </w:r>
            <w:r>
              <w:rPr>
                <w:noProof/>
              </w:rPr>
              <w:t>1</w:t>
            </w:r>
            <w:r>
              <w:rPr>
                <w:noProof/>
              </w:rPr>
              <w:fldChar w:fldCharType="end"/>
            </w:r>
          </w:hyperlink>
        </w:p>
        <w:p w14:paraId="367A6EEF" w14:textId="77777777" w:rsidR="008F128A" w:rsidRDefault="00000000">
          <w:r>
            <w:fldChar w:fldCharType="end"/>
          </w:r>
        </w:p>
      </w:sdtContent>
    </w:sdt>
    <w:p w14:paraId="11FE95C4" w14:textId="77777777" w:rsidR="008F128A" w:rsidRDefault="00000000">
      <w:r>
        <w:br w:type="page"/>
      </w:r>
    </w:p>
    <w:p w14:paraId="6EC42E48" w14:textId="77777777" w:rsidR="008F128A" w:rsidRDefault="00000000">
      <w:pPr>
        <w:pStyle w:val="Heading1"/>
      </w:pPr>
      <w:bookmarkStart w:id="0" w:name="_Toc241614661"/>
      <w:r>
        <w:lastRenderedPageBreak/>
        <w:t>Sigles et acronymes</w:t>
      </w:r>
      <w:bookmarkEnd w:id="0"/>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3"/>
        <w:gridCol w:w="7409"/>
      </w:tblGrid>
      <w:tr w:rsidR="008F128A" w14:paraId="1B559F7A" w14:textId="77777777">
        <w:trPr>
          <w:cantSplit/>
          <w:tblHeader/>
        </w:trPr>
        <w:tc>
          <w:tcPr>
            <w:tcW w:w="20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77307531" w14:textId="77777777" w:rsidR="008F128A" w:rsidRDefault="00000000">
            <w:pPr>
              <w:spacing w:line="250" w:lineRule="auto"/>
            </w:pPr>
            <w:r>
              <w:rPr>
                <w:rFonts w:ascii="Calibri" w:eastAsia="Calibri" w:hAnsi="Calibri" w:cs="Calibri"/>
                <w:b/>
                <w:bCs/>
                <w:color w:val="FFFFFF"/>
                <w:sz w:val="17"/>
                <w:szCs w:val="17"/>
              </w:rPr>
              <w:t>Sigle</w:t>
            </w:r>
          </w:p>
        </w:tc>
        <w:tc>
          <w:tcPr>
            <w:tcW w:w="7409"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190CCE5E" w14:textId="77777777" w:rsidR="008F128A" w:rsidRDefault="00000000">
            <w:pPr>
              <w:spacing w:line="250" w:lineRule="auto"/>
            </w:pPr>
            <w:r>
              <w:rPr>
                <w:rFonts w:ascii="Calibri" w:eastAsia="Calibri" w:hAnsi="Calibri" w:cs="Calibri"/>
                <w:b/>
                <w:bCs/>
                <w:color w:val="FFFFFF"/>
                <w:sz w:val="17"/>
                <w:szCs w:val="17"/>
              </w:rPr>
              <w:t>Signification</w:t>
            </w:r>
          </w:p>
        </w:tc>
      </w:tr>
      <w:tr w:rsidR="008F128A" w14:paraId="4DD5B952" w14:textId="77777777">
        <w:trPr>
          <w:cantSplit/>
        </w:trPr>
        <w:tc>
          <w:tcPr>
            <w:tcW w:w="20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ED3CF0E" w14:textId="77777777" w:rsidR="008F128A" w:rsidRDefault="00000000">
            <w:pPr>
              <w:spacing w:line="250" w:lineRule="auto"/>
            </w:pPr>
            <w:r>
              <w:rPr>
                <w:rFonts w:ascii="Calibri" w:eastAsia="Calibri" w:hAnsi="Calibri" w:cs="Calibri"/>
                <w:sz w:val="17"/>
                <w:szCs w:val="17"/>
              </w:rPr>
              <w:t>CEL</w:t>
            </w:r>
          </w:p>
        </w:tc>
        <w:tc>
          <w:tcPr>
            <w:tcW w:w="7409"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EBB2DB7" w14:textId="77777777" w:rsidR="008F128A" w:rsidRDefault="00000000">
            <w:pPr>
              <w:spacing w:line="250" w:lineRule="auto"/>
            </w:pPr>
            <w:r>
              <w:rPr>
                <w:rFonts w:ascii="Calibri" w:eastAsia="Calibri" w:hAnsi="Calibri" w:cs="Calibri"/>
                <w:sz w:val="17"/>
                <w:szCs w:val="17"/>
              </w:rPr>
              <w:t>Carnival Economy Lab</w:t>
            </w:r>
          </w:p>
        </w:tc>
      </w:tr>
      <w:tr w:rsidR="008F128A" w14:paraId="60D81E8F" w14:textId="77777777">
        <w:trPr>
          <w:cantSplit/>
        </w:trPr>
        <w:tc>
          <w:tcPr>
            <w:tcW w:w="20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B335196" w14:textId="77777777" w:rsidR="008F128A" w:rsidRDefault="00000000">
            <w:pPr>
              <w:spacing w:line="250" w:lineRule="auto"/>
            </w:pPr>
            <w:r>
              <w:rPr>
                <w:rFonts w:ascii="Calibri" w:eastAsia="Calibri" w:hAnsi="Calibri" w:cs="Calibri"/>
                <w:sz w:val="17"/>
                <w:szCs w:val="17"/>
              </w:rPr>
              <w:t>CEW</w:t>
            </w:r>
          </w:p>
        </w:tc>
        <w:tc>
          <w:tcPr>
            <w:tcW w:w="7409"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ACDB652" w14:textId="77777777" w:rsidR="008F128A" w:rsidRDefault="00000000">
            <w:pPr>
              <w:spacing w:line="250" w:lineRule="auto"/>
            </w:pPr>
            <w:r>
              <w:rPr>
                <w:rFonts w:ascii="Calibri" w:eastAsia="Calibri" w:hAnsi="Calibri" w:cs="Calibri"/>
                <w:sz w:val="17"/>
                <w:szCs w:val="17"/>
              </w:rPr>
              <w:t>Carnival Economy Week</w:t>
            </w:r>
          </w:p>
        </w:tc>
      </w:tr>
      <w:tr w:rsidR="008F128A" w14:paraId="49DCACDA" w14:textId="77777777">
        <w:trPr>
          <w:cantSplit/>
        </w:trPr>
        <w:tc>
          <w:tcPr>
            <w:tcW w:w="20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E194BAF" w14:textId="77777777" w:rsidR="008F128A" w:rsidRDefault="00000000">
            <w:pPr>
              <w:spacing w:line="250" w:lineRule="auto"/>
            </w:pPr>
            <w:r>
              <w:rPr>
                <w:rFonts w:ascii="Calibri" w:eastAsia="Calibri" w:hAnsi="Calibri" w:cs="Calibri"/>
                <w:sz w:val="17"/>
                <w:szCs w:val="17"/>
              </w:rPr>
              <w:t>ISPAN</w:t>
            </w:r>
          </w:p>
        </w:tc>
        <w:tc>
          <w:tcPr>
            <w:tcW w:w="7409"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B795C75" w14:textId="02FEC71A" w:rsidR="008F128A" w:rsidRDefault="00000000">
            <w:pPr>
              <w:spacing w:line="250" w:lineRule="auto"/>
            </w:pPr>
            <w:r>
              <w:rPr>
                <w:rFonts w:ascii="Calibri" w:eastAsia="Calibri" w:hAnsi="Calibri" w:cs="Calibri"/>
                <w:sz w:val="17"/>
                <w:szCs w:val="17"/>
              </w:rPr>
              <w:t xml:space="preserve">Institut de </w:t>
            </w:r>
            <w:r w:rsidR="00F122A7">
              <w:rPr>
                <w:rFonts w:ascii="Calibri" w:eastAsia="Calibri" w:hAnsi="Calibri" w:cs="Calibri"/>
                <w:sz w:val="17"/>
                <w:szCs w:val="17"/>
              </w:rPr>
              <w:t>S</w:t>
            </w:r>
            <w:r>
              <w:rPr>
                <w:rFonts w:ascii="Calibri" w:eastAsia="Calibri" w:hAnsi="Calibri" w:cs="Calibri"/>
                <w:sz w:val="17"/>
                <w:szCs w:val="17"/>
              </w:rPr>
              <w:t xml:space="preserve">auvegarde du </w:t>
            </w:r>
            <w:r w:rsidR="00F122A7">
              <w:rPr>
                <w:rFonts w:ascii="Calibri" w:eastAsia="Calibri" w:hAnsi="Calibri" w:cs="Calibri"/>
                <w:sz w:val="17"/>
                <w:szCs w:val="17"/>
              </w:rPr>
              <w:t>P</w:t>
            </w:r>
            <w:r>
              <w:rPr>
                <w:rFonts w:ascii="Calibri" w:eastAsia="Calibri" w:hAnsi="Calibri" w:cs="Calibri"/>
                <w:sz w:val="17"/>
                <w:szCs w:val="17"/>
              </w:rPr>
              <w:t xml:space="preserve">atrimoine </w:t>
            </w:r>
            <w:r w:rsidR="00F122A7">
              <w:rPr>
                <w:rFonts w:ascii="Calibri" w:eastAsia="Calibri" w:hAnsi="Calibri" w:cs="Calibri"/>
                <w:sz w:val="17"/>
                <w:szCs w:val="17"/>
              </w:rPr>
              <w:t>N</w:t>
            </w:r>
            <w:r>
              <w:rPr>
                <w:rFonts w:ascii="Calibri" w:eastAsia="Calibri" w:hAnsi="Calibri" w:cs="Calibri"/>
                <w:sz w:val="17"/>
                <w:szCs w:val="17"/>
              </w:rPr>
              <w:t>ational</w:t>
            </w:r>
          </w:p>
        </w:tc>
      </w:tr>
      <w:tr w:rsidR="008F128A" w14:paraId="38F9F8AF" w14:textId="77777777">
        <w:trPr>
          <w:cantSplit/>
        </w:trPr>
        <w:tc>
          <w:tcPr>
            <w:tcW w:w="20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1DFF173" w14:textId="77777777" w:rsidR="008F128A" w:rsidRDefault="00000000">
            <w:pPr>
              <w:spacing w:line="250" w:lineRule="auto"/>
            </w:pPr>
            <w:r>
              <w:rPr>
                <w:rFonts w:ascii="Calibri" w:eastAsia="Calibri" w:hAnsi="Calibri" w:cs="Calibri"/>
                <w:sz w:val="17"/>
                <w:szCs w:val="17"/>
              </w:rPr>
              <w:t>LM3</w:t>
            </w:r>
          </w:p>
        </w:tc>
        <w:tc>
          <w:tcPr>
            <w:tcW w:w="7409"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73EA2D7" w14:textId="77777777" w:rsidR="008F128A" w:rsidRDefault="00000000">
            <w:pPr>
              <w:spacing w:line="250" w:lineRule="auto"/>
            </w:pPr>
            <w:r>
              <w:rPr>
                <w:rFonts w:ascii="Calibri" w:eastAsia="Calibri" w:hAnsi="Calibri" w:cs="Calibri"/>
                <w:sz w:val="17"/>
                <w:szCs w:val="17"/>
              </w:rPr>
              <w:t>Local Multiplier 3 (New Economics Foundation)</w:t>
            </w:r>
          </w:p>
        </w:tc>
      </w:tr>
      <w:tr w:rsidR="008F128A" w14:paraId="22CD93B1" w14:textId="77777777">
        <w:trPr>
          <w:cantSplit/>
        </w:trPr>
        <w:tc>
          <w:tcPr>
            <w:tcW w:w="20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8C61EAC" w14:textId="77777777" w:rsidR="008F128A" w:rsidRDefault="00000000">
            <w:pPr>
              <w:spacing w:line="250" w:lineRule="auto"/>
            </w:pPr>
            <w:r>
              <w:rPr>
                <w:rFonts w:ascii="Calibri" w:eastAsia="Calibri" w:hAnsi="Calibri" w:cs="Calibri"/>
                <w:sz w:val="17"/>
                <w:szCs w:val="17"/>
              </w:rPr>
              <w:t>MCC</w:t>
            </w:r>
          </w:p>
        </w:tc>
        <w:tc>
          <w:tcPr>
            <w:tcW w:w="7409"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393A92B" w14:textId="77777777" w:rsidR="008F128A" w:rsidRDefault="00000000">
            <w:pPr>
              <w:spacing w:line="250" w:lineRule="auto"/>
            </w:pPr>
            <w:r>
              <w:rPr>
                <w:rFonts w:ascii="Calibri" w:eastAsia="Calibri" w:hAnsi="Calibri" w:cs="Calibri"/>
                <w:sz w:val="17"/>
                <w:szCs w:val="17"/>
              </w:rPr>
              <w:t>Ministère de la Culture et de la Communication</w:t>
            </w:r>
          </w:p>
        </w:tc>
      </w:tr>
      <w:tr w:rsidR="008F128A" w14:paraId="3CD7900B" w14:textId="77777777">
        <w:trPr>
          <w:cantSplit/>
        </w:trPr>
        <w:tc>
          <w:tcPr>
            <w:tcW w:w="20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43A7A233" w14:textId="77777777" w:rsidR="008F128A" w:rsidRDefault="00000000">
            <w:pPr>
              <w:spacing w:line="250" w:lineRule="auto"/>
            </w:pPr>
            <w:r>
              <w:rPr>
                <w:rFonts w:ascii="Calibri" w:eastAsia="Calibri" w:hAnsi="Calibri" w:cs="Calibri"/>
                <w:sz w:val="17"/>
                <w:szCs w:val="17"/>
              </w:rPr>
              <w:t>MCI</w:t>
            </w:r>
          </w:p>
        </w:tc>
        <w:tc>
          <w:tcPr>
            <w:tcW w:w="7409"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1066183" w14:textId="77777777" w:rsidR="008F128A" w:rsidRDefault="00000000">
            <w:pPr>
              <w:spacing w:line="250" w:lineRule="auto"/>
            </w:pPr>
            <w:r>
              <w:rPr>
                <w:rFonts w:ascii="Calibri" w:eastAsia="Calibri" w:hAnsi="Calibri" w:cs="Calibri"/>
                <w:sz w:val="17"/>
                <w:szCs w:val="17"/>
              </w:rPr>
              <w:t>Ministère du Commerce et de l'Industrie</w:t>
            </w:r>
          </w:p>
        </w:tc>
      </w:tr>
      <w:tr w:rsidR="008F128A" w14:paraId="4776E875" w14:textId="77777777">
        <w:trPr>
          <w:cantSplit/>
        </w:trPr>
        <w:tc>
          <w:tcPr>
            <w:tcW w:w="20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4BDCB57" w14:textId="77777777" w:rsidR="008F128A" w:rsidRDefault="00000000">
            <w:pPr>
              <w:spacing w:line="250" w:lineRule="auto"/>
            </w:pPr>
            <w:r>
              <w:rPr>
                <w:rFonts w:ascii="Calibri" w:eastAsia="Calibri" w:hAnsi="Calibri" w:cs="Calibri"/>
                <w:sz w:val="17"/>
                <w:szCs w:val="17"/>
              </w:rPr>
              <w:t>MPCE</w:t>
            </w:r>
          </w:p>
        </w:tc>
        <w:tc>
          <w:tcPr>
            <w:tcW w:w="7409"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02E9E2C" w14:textId="5204AEAF" w:rsidR="008F128A" w:rsidRDefault="00000000">
            <w:pPr>
              <w:spacing w:line="250" w:lineRule="auto"/>
            </w:pPr>
            <w:r>
              <w:rPr>
                <w:rFonts w:ascii="Calibri" w:eastAsia="Calibri" w:hAnsi="Calibri" w:cs="Calibri"/>
                <w:sz w:val="17"/>
                <w:szCs w:val="17"/>
              </w:rPr>
              <w:t xml:space="preserve">Ministère de la Planification et de la Coopération </w:t>
            </w:r>
            <w:r w:rsidR="00F122A7">
              <w:rPr>
                <w:rFonts w:ascii="Calibri" w:eastAsia="Calibri" w:hAnsi="Calibri" w:cs="Calibri"/>
                <w:sz w:val="17"/>
                <w:szCs w:val="17"/>
              </w:rPr>
              <w:t>E</w:t>
            </w:r>
            <w:r>
              <w:rPr>
                <w:rFonts w:ascii="Calibri" w:eastAsia="Calibri" w:hAnsi="Calibri" w:cs="Calibri"/>
                <w:sz w:val="17"/>
                <w:szCs w:val="17"/>
              </w:rPr>
              <w:t>xterne</w:t>
            </w:r>
          </w:p>
        </w:tc>
      </w:tr>
      <w:tr w:rsidR="008F128A" w14:paraId="257941A1" w14:textId="77777777">
        <w:trPr>
          <w:cantSplit/>
        </w:trPr>
        <w:tc>
          <w:tcPr>
            <w:tcW w:w="20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7C0AEB1" w14:textId="77777777" w:rsidR="008F128A" w:rsidRDefault="00000000">
            <w:pPr>
              <w:spacing w:line="250" w:lineRule="auto"/>
            </w:pPr>
            <w:r>
              <w:rPr>
                <w:rFonts w:ascii="Calibri" w:eastAsia="Calibri" w:hAnsi="Calibri" w:cs="Calibri"/>
                <w:sz w:val="17"/>
                <w:szCs w:val="17"/>
              </w:rPr>
              <w:t>M4P</w:t>
            </w:r>
          </w:p>
        </w:tc>
        <w:tc>
          <w:tcPr>
            <w:tcW w:w="7409"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5FA7C23" w14:textId="77777777" w:rsidR="008F128A" w:rsidRDefault="00000000">
            <w:pPr>
              <w:spacing w:line="250" w:lineRule="auto"/>
            </w:pPr>
            <w:r>
              <w:rPr>
                <w:rFonts w:ascii="Calibri" w:eastAsia="Calibri" w:hAnsi="Calibri" w:cs="Calibri"/>
                <w:sz w:val="17"/>
                <w:szCs w:val="17"/>
              </w:rPr>
              <w:t>Making Markets Work for the Poor (développement des systèmes de marché)</w:t>
            </w:r>
          </w:p>
        </w:tc>
      </w:tr>
      <w:tr w:rsidR="008F128A" w14:paraId="6D13DAEF" w14:textId="77777777">
        <w:trPr>
          <w:cantSplit/>
        </w:trPr>
        <w:tc>
          <w:tcPr>
            <w:tcW w:w="20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7D77B28" w14:textId="77777777" w:rsidR="008F128A" w:rsidRDefault="00000000">
            <w:pPr>
              <w:spacing w:line="250" w:lineRule="auto"/>
            </w:pPr>
            <w:r>
              <w:rPr>
                <w:rFonts w:ascii="Calibri" w:eastAsia="Calibri" w:hAnsi="Calibri" w:cs="Calibri"/>
                <w:sz w:val="17"/>
                <w:szCs w:val="17"/>
              </w:rPr>
              <w:t>PDIA</w:t>
            </w:r>
          </w:p>
        </w:tc>
        <w:tc>
          <w:tcPr>
            <w:tcW w:w="7409"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09C73D0" w14:textId="77777777" w:rsidR="008F128A" w:rsidRDefault="00000000">
            <w:pPr>
              <w:spacing w:line="250" w:lineRule="auto"/>
            </w:pPr>
            <w:r>
              <w:rPr>
                <w:rFonts w:ascii="Calibri" w:eastAsia="Calibri" w:hAnsi="Calibri" w:cs="Calibri"/>
                <w:sz w:val="17"/>
                <w:szCs w:val="17"/>
              </w:rPr>
              <w:t>Problem-Driven Iterative Adaptation</w:t>
            </w:r>
          </w:p>
        </w:tc>
      </w:tr>
    </w:tbl>
    <w:p w14:paraId="2DC30401" w14:textId="77777777" w:rsidR="008F128A" w:rsidRDefault="00000000">
      <w:r>
        <w:br w:type="page"/>
      </w:r>
    </w:p>
    <w:p w14:paraId="2D7D5389" w14:textId="77777777" w:rsidR="008F128A" w:rsidRDefault="00000000">
      <w:pPr>
        <w:pStyle w:val="Heading1"/>
      </w:pPr>
      <w:bookmarkStart w:id="1" w:name="_Toc241614662"/>
      <w:r>
        <w:lastRenderedPageBreak/>
        <w:t>Résumé</w:t>
      </w:r>
      <w:bookmarkEnd w:id="1"/>
    </w:p>
    <w:p w14:paraId="3BFA78F3" w14:textId="77777777" w:rsidR="008F128A" w:rsidRDefault="00000000">
      <w:pPr>
        <w:pStyle w:val="Corpsdetexte"/>
      </w:pPr>
      <w:r>
        <w:t>Si le carnaval de Jacmel engendre une activité économique considérable, aucune institution ne l'organise, ne la mesure ni n'en assure la continuité en tant qu'économie. Le présent document de travail analyse les trois sessions publiques de la Carnival Economy Week 2026 (24-26 septembre 2026), qui ont réuni d'anciens responsables publics, un historien, un spécialiste du patrimoine et des acteurs de la gestion culturelle. Les interventions y sont codées selon une chaîne de valeur en sept maillons, de l'actif culturel à la valeur retenue sur le territoire, puis hiérarchisées selon quatre niveaux de preuve.</w:t>
      </w:r>
    </w:p>
    <w:p w14:paraId="12FED560" w14:textId="77777777" w:rsidR="008F128A" w:rsidRDefault="00000000">
      <w:pPr>
        <w:pStyle w:val="Corpsdetexte"/>
      </w:pPr>
      <w:r>
        <w:t>Six constats convergents s'en dégagent : l'absence de structure permanente ; l'absence de mémoire technique ; un financement public arrêté sans concertation avec la commune ; une création de valeur qui s'opère autour du défilé plutôt que pendant celui-ci ; un écart persistant entre dépense et richesse locale ; enfin, la précarité des créateurs hors saison. Aucun de ces constats ne peut, à ce stade, être chiffré : les données disponibles sont de nature déclarative et la part de la dépense effectivement retenue à Jacmel demeure inconnue.</w:t>
      </w:r>
    </w:p>
    <w:p w14:paraId="554C8835" w14:textId="77777777" w:rsidR="008F128A" w:rsidRDefault="00000000">
      <w:pPr>
        <w:pStyle w:val="Corpsdetexte"/>
      </w:pPr>
      <w:r>
        <w:t>Le document propose en conséquence une architecture institutionnelle, articulée autour d'un comité permanent placé sous l'autorité de la mairie, d'un engagement conventionnel de l'État et d'un collège des acteurs économiques. Il y adjoint un Observatoire fondé sur onze indicateurs et un programme de trois expérimentations pour l'édition 2027, envisagée comme une année de mesure de référence. Il en expose enfin les limites : un corpus dominé par des voix institutionnelles, l'absence des praticiens de la production et de l'hébergement, et des transcriptions partiellement vérifiées.</w:t>
      </w:r>
    </w:p>
    <w:p w14:paraId="74124C44" w14:textId="77777777" w:rsidR="008F128A" w:rsidRDefault="00000000">
      <w:pPr>
        <w:pStyle w:val="Corpsdetexte"/>
      </w:pPr>
      <w:r>
        <w:rPr>
          <w:b/>
          <w:bCs/>
        </w:rPr>
        <w:t>Mots-clés :</w:t>
      </w:r>
      <w:r>
        <w:t xml:space="preserve"> économie du carnaval ; chaîne de valeur ; valeur retenue localement ; gouvernance culturelle ; Jacmel ; Haïti.</w:t>
      </w:r>
    </w:p>
    <w:p w14:paraId="7D04C5EF" w14:textId="77777777" w:rsidR="008F128A" w:rsidRDefault="00000000">
      <w:pPr>
        <w:pStyle w:val="Heading1"/>
      </w:pPr>
      <w:bookmarkStart w:id="2" w:name="_Toc241614663"/>
      <w:r>
        <w:t>Abstract</w:t>
      </w:r>
      <w:bookmarkEnd w:id="2"/>
    </w:p>
    <w:p w14:paraId="3B2A5DFB" w14:textId="77777777" w:rsidR="008F128A" w:rsidRDefault="00000000">
      <w:pPr>
        <w:pStyle w:val="Corpsdetexte"/>
      </w:pPr>
      <w:r>
        <w:t>Although Jacmel's carnival generates considerable economic activity, no institution organizes, measures or sustains it as an economy. This working paper examines the three public sessions of Carnival Economy Week 2026 (24-26 September 2026), which brought together former public officials, a historian, a heritage specialist and cultural managers. Contributions are coded along a seven-link value chain, from cultural assets to locally retained value, and graded on four levels of evidence.</w:t>
      </w:r>
    </w:p>
    <w:p w14:paraId="63643F46" w14:textId="77777777" w:rsidR="008F128A" w:rsidRDefault="00000000">
      <w:pPr>
        <w:pStyle w:val="Corpsdetexte"/>
      </w:pPr>
      <w:r>
        <w:t>Six convergent findings emerge: the absence of a permanent organizing body; the absence of technical memory from one edition to the next; public funding determined without consultation with the municipality; value created around the parade rather than during it; a persistent gap between visitor spending and local wealth; and the off-season precarity of creators. None of these findings can yet be quantified: available figures are declarative, and the share of spending actually retained in Jacmel remains unknown.</w:t>
      </w:r>
    </w:p>
    <w:p w14:paraId="17DC3926" w14:textId="77777777" w:rsidR="008F128A" w:rsidRDefault="00000000">
      <w:pPr>
        <w:pStyle w:val="Corpsdetexte"/>
      </w:pPr>
      <w:r>
        <w:t xml:space="preserve">The paper accordingly proposes an institutional architecture built around a permanent committee under municipal authority, a contractual commitment from central government and a college of </w:t>
      </w:r>
      <w:r>
        <w:lastRenderedPageBreak/>
        <w:t>economic actors. It adds an eleven-indicator Observatory and three experiments for the 2027 edition, conceived as a baseline measurement year. Finally, it sets out its limitations: an institutionally dominated corpus, the absence of production and hospitality practitioners, and partially verified transcripts.</w:t>
      </w:r>
    </w:p>
    <w:p w14:paraId="76891CAD" w14:textId="77777777" w:rsidR="008F128A" w:rsidRDefault="00000000">
      <w:pPr>
        <w:pStyle w:val="Corpsdetexte"/>
      </w:pPr>
      <w:r>
        <w:rPr>
          <w:b/>
          <w:bCs/>
        </w:rPr>
        <w:t>Keywords:</w:t>
      </w:r>
      <w:r>
        <w:t xml:space="preserve"> carnival economy; value chain; local value retention; cultural governance; Jacmel; Haiti.</w:t>
      </w:r>
    </w:p>
    <w:p w14:paraId="051E09B2" w14:textId="77777777" w:rsidR="008F128A" w:rsidRDefault="00000000">
      <w:r>
        <w:br w:type="page"/>
      </w:r>
    </w:p>
    <w:p w14:paraId="6C6693E7" w14:textId="77777777" w:rsidR="008F128A" w:rsidRDefault="00000000">
      <w:pPr>
        <w:pStyle w:val="Heading1"/>
      </w:pPr>
      <w:bookmarkStart w:id="3" w:name="_Toc241614664"/>
      <w:r>
        <w:lastRenderedPageBreak/>
        <w:t>1. Introduction</w:t>
      </w:r>
      <w:bookmarkEnd w:id="3"/>
    </w:p>
    <w:p w14:paraId="3645057F" w14:textId="77777777" w:rsidR="008F128A" w:rsidRDefault="00000000">
      <w:pPr>
        <w:pStyle w:val="Corpsdetexte"/>
      </w:pPr>
      <w:r>
        <w:t>Célébré le dimanche qui précède le carnaval national, le carnaval de Jacmel compte parmi les manifestations culturelles les plus renommées d'Haïti, notamment en raison de ses masques en papier mâché. Si sa valeur culturelle fait l'objet d'une large reconnaissance, sa valeur économique n'a, en revanche, jamais été mesurée : on ignore ce qu'il coûte, ce qu'il rapporte et qui en tire un revenu.</w:t>
      </w:r>
    </w:p>
    <w:p w14:paraId="10F0A74A" w14:textId="77777777" w:rsidR="008F128A" w:rsidRDefault="00000000">
      <w:pPr>
        <w:pStyle w:val="Corpsdetexte"/>
      </w:pPr>
      <w:r>
        <w:t>L'économie des événements culturels soulève à cet égard une difficulté bien établie. La dépense des visiteurs est aisément observable ; elle ne renseigne pourtant en rien sur la richesse qui demeure sur le territoire, dès lors qu'une part en ressort aussitôt pour rémunérer des biens et services produits ailleurs (Mitchell et Ashley, 2010). Les études d'impact consacrées aux événements confondent fréquemment ces deux grandeurs, au prix d'une surestimation de leurs résultats (Crompton, 2006).</w:t>
      </w:r>
    </w:p>
    <w:p w14:paraId="7B4E86AA" w14:textId="77777777" w:rsidR="008F128A" w:rsidRDefault="00000000">
      <w:pPr>
        <w:pStyle w:val="Corpsdetexte"/>
      </w:pPr>
      <w:r>
        <w:t xml:space="preserve">C'est de cette distinction que procède le présent document. Sa question de recherche s'énonce ainsi : </w:t>
      </w:r>
      <w:r>
        <w:rPr>
          <w:b/>
          <w:bCs/>
        </w:rPr>
        <w:t>quelles conditions institutionnelles empêchent aujourd'hui le carnaval de Jacmel de fonctionner comme une économie organisée, et quelle architecture permettrait de mesurer, puis d'accroître, la part de la valeur retenue sur le territoire ?</w:t>
      </w:r>
    </w:p>
    <w:p w14:paraId="0E911E39" w14:textId="77777777" w:rsidR="008F128A" w:rsidRDefault="00000000">
      <w:pPr>
        <w:pStyle w:val="Corpsdetexte"/>
      </w:pPr>
      <w:r>
        <w:t>Trois objectifs en découlent : établir un diagnostic à partir des positions exprimées lors de la Carnival Economy Week 2026 (section 4) ; interpréter ce diagnostic à la lumière de la littérature (section 5) ; proposer une architecture institutionnelle et un programme d'expérimentation pour l'édition 2027 (section 6). Le document distingue expressément les résultats, qui rendent compte de ce que les intervenants ont établi, des propositions, qui engagent le seul Carnival Economy Lab.</w:t>
      </w:r>
    </w:p>
    <w:p w14:paraId="70412AEC" w14:textId="77777777" w:rsidR="008F128A" w:rsidRDefault="00000000">
      <w:pPr>
        <w:pStyle w:val="Heading1"/>
      </w:pPr>
      <w:bookmarkStart w:id="4" w:name="_Toc241614665"/>
      <w:r>
        <w:t>2. Cadre d'analyse</w:t>
      </w:r>
      <w:bookmarkEnd w:id="4"/>
    </w:p>
    <w:p w14:paraId="0F18A51C" w14:textId="77777777" w:rsidR="008F128A" w:rsidRDefault="00000000">
      <w:pPr>
        <w:pStyle w:val="Corpsdetexte"/>
      </w:pPr>
      <w:r>
        <w:t>L'analyse mobilise cinq notions, dont chacune est associée à une question que le diagnostic s'attache à éclairer.</w:t>
      </w:r>
    </w:p>
    <w:p w14:paraId="3F82E2F0" w14:textId="77777777" w:rsidR="008F128A" w:rsidRDefault="00000000">
      <w:pPr>
        <w:pStyle w:val="Heading2"/>
      </w:pPr>
      <w:bookmarkStart w:id="5" w:name="_Toc241614666"/>
      <w:r>
        <w:t>2.1 Chaîne de valeur et gouvernance</w:t>
      </w:r>
      <w:bookmarkEnd w:id="5"/>
    </w:p>
    <w:p w14:paraId="1B48DAC5" w14:textId="77777777" w:rsidR="008F128A" w:rsidRDefault="00000000">
      <w:pPr>
        <w:pStyle w:val="Corpsdetexte"/>
      </w:pPr>
      <w:r>
        <w:t xml:space="preserve">Une chaîne de valeur décrit la succession d'activités au terme de laquelle une matière première devient un bien ou un service marchand. Son analyse porte moins sur les étapes elles-mêmes que sur la manière dont les acteurs se répartissent la marge et en fixent les règles (Gereffi et al., 2005). Transposée au tourisme, elle permet de suivre la dépense des visiteurs, maillon après maillon, jusqu'aux revenus des ménages locaux (Mitchell et Ashley, 2010). </w:t>
      </w:r>
      <w:r>
        <w:rPr>
          <w:i/>
          <w:iCs/>
        </w:rPr>
        <w:t>Question associée : qui capte la valeur du carnaval ?</w:t>
      </w:r>
    </w:p>
    <w:p w14:paraId="54FD7947" w14:textId="77777777" w:rsidR="008F128A" w:rsidRDefault="00000000">
      <w:pPr>
        <w:pStyle w:val="Heading2"/>
      </w:pPr>
      <w:bookmarkStart w:id="6" w:name="_Toc241614667"/>
      <w:r>
        <w:t>2.2 Fuites et valeur retenue</w:t>
      </w:r>
      <w:bookmarkEnd w:id="6"/>
    </w:p>
    <w:p w14:paraId="1B227E19" w14:textId="77777777" w:rsidR="008F128A" w:rsidRDefault="00000000">
      <w:pPr>
        <w:pStyle w:val="Corpsdetexte"/>
      </w:pPr>
      <w:r>
        <w:t xml:space="preserve">Une fraction de chaque unité dépensée sur un territoire en sort immédiatement pour rémunérer des intrants extérieurs. La méthode LM3 mesure la part qui recircule localement au fil de trois tours de dépense successifs (Sacks, 2002). </w:t>
      </w:r>
      <w:r>
        <w:rPr>
          <w:i/>
          <w:iCs/>
        </w:rPr>
        <w:t>Question associée : quelle part demeure à Jacmel ?</w:t>
      </w:r>
    </w:p>
    <w:p w14:paraId="154C4EBD" w14:textId="77777777" w:rsidR="008F128A" w:rsidRDefault="00000000">
      <w:pPr>
        <w:pStyle w:val="Heading2"/>
      </w:pPr>
      <w:bookmarkStart w:id="7" w:name="_Toc241614668"/>
      <w:r>
        <w:lastRenderedPageBreak/>
        <w:t>2.3 Systèmes de marché</w:t>
      </w:r>
      <w:bookmarkEnd w:id="7"/>
    </w:p>
    <w:p w14:paraId="2B757158" w14:textId="77777777" w:rsidR="008F128A" w:rsidRDefault="00000000">
      <w:pPr>
        <w:pStyle w:val="Corpsdetexte"/>
      </w:pPr>
      <w:r>
        <w:t xml:space="preserve">L'approche M4P appréhende un marché à travers son échange central, ses fonctions de soutien (information, paiement, compétences, logistique) et ses règles, formelles comme informelles. Elle s'attache à identifier la contrainte qui empêche ce marché de fonctionner au bénéfice des plus démunis (Springfield Centre, 2015). En contexte institutionnel fragile, l'approche PDIA préconise de partir d'un problème local circonscrit et de procéder par itérations brèves (Andrews et al., 2017). </w:t>
      </w:r>
      <w:r>
        <w:rPr>
          <w:i/>
          <w:iCs/>
        </w:rPr>
        <w:t>Question associée : qu'est-ce qui empêche une offre existante de trouver acquéreur ?</w:t>
      </w:r>
    </w:p>
    <w:p w14:paraId="5389F7C9" w14:textId="77777777" w:rsidR="008F128A" w:rsidRDefault="00000000">
      <w:pPr>
        <w:pStyle w:val="Heading2"/>
      </w:pPr>
      <w:bookmarkStart w:id="8" w:name="_Toc241614669"/>
      <w:r>
        <w:t>2.4 Capital culturel</w:t>
      </w:r>
      <w:bookmarkEnd w:id="8"/>
    </w:p>
    <w:p w14:paraId="6EF3CA69" w14:textId="77777777" w:rsidR="008F128A" w:rsidRDefault="00000000">
      <w:pPr>
        <w:pStyle w:val="Corpsdetexte"/>
      </w:pPr>
      <w:r>
        <w:t xml:space="preserve">Throsby (2001) distingue la valeur culturelle d'un bien de sa valeur économique et appréhende le patrimoine comme un capital, susceptible de s'accroître comme de s'éroder. </w:t>
      </w:r>
      <w:r>
        <w:rPr>
          <w:i/>
          <w:iCs/>
        </w:rPr>
        <w:t>Question associée : quels actifs le carnaval mobilise-t-il ?</w:t>
      </w:r>
    </w:p>
    <w:p w14:paraId="19A909AB" w14:textId="77777777" w:rsidR="008F128A" w:rsidRDefault="00000000">
      <w:pPr>
        <w:pStyle w:val="Heading2"/>
      </w:pPr>
      <w:bookmarkStart w:id="9" w:name="_Toc241614670"/>
      <w:r>
        <w:t>2.5 Authenticité et marchandisation</w:t>
      </w:r>
      <w:bookmarkEnd w:id="9"/>
    </w:p>
    <w:p w14:paraId="04E4B1C7" w14:textId="77777777" w:rsidR="008F128A" w:rsidRDefault="00000000">
      <w:pPr>
        <w:pStyle w:val="Corpsdetexte"/>
      </w:pPr>
      <w:r>
        <w:t xml:space="preserve">La mise en marché d'une pratique culturelle peut en altérer la signification (Greenwood, 1977), sans que cette issue soit inéluctable : la marchandisation elle-même peut faire naître des significations nouvelles (Cohen, 1988). </w:t>
      </w:r>
      <w:r>
        <w:rPr>
          <w:i/>
          <w:iCs/>
        </w:rPr>
        <w:t>Question associée : qu'est-ce qui peut devenir une offre sans dénaturer le carnaval ?</w:t>
      </w:r>
    </w:p>
    <w:p w14:paraId="5484CBCD" w14:textId="77777777" w:rsidR="008F128A" w:rsidRDefault="00000000">
      <w:pPr>
        <w:pStyle w:val="Corpsdetexte"/>
      </w:pPr>
      <w:r>
        <w:t>Ces notions sont traduites en une grille opératoire en sept maillons, publiée par le Carnival Economy Lab : actifs culturels ; production ; produits et expériences ; infrastructure de marché ; visiteurs et demande ; transactions ; valeur locale. Cette grille fonde le codage des interventions (section 3.4).</w:t>
      </w:r>
    </w:p>
    <w:p w14:paraId="058B4D45" w14:textId="77777777" w:rsidR="008F128A" w:rsidRDefault="00000000">
      <w:pPr>
        <w:pStyle w:val="Heading1"/>
      </w:pPr>
      <w:bookmarkStart w:id="10" w:name="_Toc241614671"/>
      <w:r>
        <w:t>3. Matériaux et méthode</w:t>
      </w:r>
      <w:bookmarkEnd w:id="10"/>
    </w:p>
    <w:p w14:paraId="4C2002B8" w14:textId="77777777" w:rsidR="008F128A" w:rsidRDefault="00000000">
      <w:pPr>
        <w:pStyle w:val="Heading2"/>
      </w:pPr>
      <w:bookmarkStart w:id="11" w:name="_Toc241614672"/>
      <w:r>
        <w:t>3.1 Dispositif</w:t>
      </w:r>
      <w:bookmarkEnd w:id="11"/>
    </w:p>
    <w:p w14:paraId="03151E98" w14:textId="77777777" w:rsidR="008F128A" w:rsidRDefault="00000000">
      <w:pPr>
        <w:pStyle w:val="Corpsdetexte"/>
      </w:pPr>
      <w:r>
        <w:t>La Carnival Economy Week 2026 prévoyait cinq sessions publiques. Trois se sont tenues, en ligne, les 24, 25 et 26 septembre 2026 à 11 h (UTC−4), pour une durée cumulée d'environ six heures ; les thèmes réservés aux sessions 4 (construction du marché) et 5 (captation de la valeur) n'ont pas été traités. Aucune des trois compositions initialement arrêtées n'a pu être réunie, les praticiens de la production et de l'hébergement ayant fait défaut à chacune des sessions (tableau 1).</w:t>
      </w:r>
    </w:p>
    <w:p w14:paraId="5C436736" w14:textId="77777777" w:rsidR="008F128A" w:rsidRDefault="00000000">
      <w:pPr>
        <w:pStyle w:val="Lgende"/>
        <w:keepNext/>
      </w:pPr>
      <w:r>
        <w:t>Tableau 1. Composition prévue et réalisée des sessions</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52"/>
        <w:gridCol w:w="951"/>
        <w:gridCol w:w="1752"/>
        <w:gridCol w:w="1352"/>
        <w:gridCol w:w="2253"/>
        <w:gridCol w:w="1852"/>
      </w:tblGrid>
      <w:tr w:rsidR="008F128A" w14:paraId="548A747C" w14:textId="77777777">
        <w:trPr>
          <w:cantSplit/>
          <w:tblHeader/>
        </w:trPr>
        <w:tc>
          <w:tcPr>
            <w:tcW w:w="125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20DB7317" w14:textId="77777777" w:rsidR="008F128A" w:rsidRDefault="00000000">
            <w:pPr>
              <w:spacing w:line="250" w:lineRule="auto"/>
            </w:pPr>
            <w:r>
              <w:rPr>
                <w:rFonts w:ascii="Calibri" w:eastAsia="Calibri" w:hAnsi="Calibri" w:cs="Calibri"/>
                <w:b/>
                <w:bCs/>
                <w:color w:val="FFFFFF"/>
                <w:sz w:val="16"/>
                <w:szCs w:val="16"/>
              </w:rPr>
              <w:t>Session</w:t>
            </w:r>
          </w:p>
        </w:tc>
        <w:tc>
          <w:tcPr>
            <w:tcW w:w="951"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1DDAF620" w14:textId="77777777" w:rsidR="008F128A" w:rsidRDefault="00000000">
            <w:pPr>
              <w:spacing w:line="250" w:lineRule="auto"/>
            </w:pPr>
            <w:r>
              <w:rPr>
                <w:rFonts w:ascii="Calibri" w:eastAsia="Calibri" w:hAnsi="Calibri" w:cs="Calibri"/>
                <w:b/>
                <w:bCs/>
                <w:color w:val="FFFFFF"/>
                <w:sz w:val="16"/>
                <w:szCs w:val="16"/>
              </w:rPr>
              <w:t>Date</w:t>
            </w:r>
          </w:p>
        </w:tc>
        <w:tc>
          <w:tcPr>
            <w:tcW w:w="175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7420E903" w14:textId="77777777" w:rsidR="008F128A" w:rsidRDefault="00000000">
            <w:pPr>
              <w:spacing w:line="250" w:lineRule="auto"/>
            </w:pPr>
            <w:r>
              <w:rPr>
                <w:rFonts w:ascii="Calibri" w:eastAsia="Calibri" w:hAnsi="Calibri" w:cs="Calibri"/>
                <w:b/>
                <w:bCs/>
                <w:color w:val="FFFFFF"/>
                <w:sz w:val="16"/>
                <w:szCs w:val="16"/>
              </w:rPr>
              <w:t>Question</w:t>
            </w:r>
          </w:p>
        </w:tc>
        <w:tc>
          <w:tcPr>
            <w:tcW w:w="135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2D980B8E" w14:textId="77777777" w:rsidR="008F128A" w:rsidRDefault="00000000">
            <w:pPr>
              <w:spacing w:line="250" w:lineRule="auto"/>
            </w:pPr>
            <w:r>
              <w:rPr>
                <w:rFonts w:ascii="Calibri" w:eastAsia="Calibri" w:hAnsi="Calibri" w:cs="Calibri"/>
                <w:b/>
                <w:bCs/>
                <w:color w:val="FFFFFF"/>
                <w:sz w:val="16"/>
                <w:szCs w:val="16"/>
              </w:rPr>
              <w:t>Modération</w:t>
            </w:r>
          </w:p>
        </w:tc>
        <w:tc>
          <w:tcPr>
            <w:tcW w:w="225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3D001CFB" w14:textId="77777777" w:rsidR="008F128A" w:rsidRDefault="00000000">
            <w:pPr>
              <w:spacing w:line="250" w:lineRule="auto"/>
            </w:pPr>
            <w:r>
              <w:rPr>
                <w:rFonts w:ascii="Calibri" w:eastAsia="Calibri" w:hAnsi="Calibri" w:cs="Calibri"/>
                <w:b/>
                <w:bCs/>
                <w:color w:val="FFFFFF"/>
                <w:sz w:val="16"/>
                <w:szCs w:val="16"/>
              </w:rPr>
              <w:t>Intervenants présents</w:t>
            </w:r>
          </w:p>
        </w:tc>
        <w:tc>
          <w:tcPr>
            <w:tcW w:w="185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48648D38" w14:textId="77777777" w:rsidR="008F128A" w:rsidRDefault="00000000">
            <w:pPr>
              <w:spacing w:line="250" w:lineRule="auto"/>
            </w:pPr>
            <w:r>
              <w:rPr>
                <w:rFonts w:ascii="Calibri" w:eastAsia="Calibri" w:hAnsi="Calibri" w:cs="Calibri"/>
                <w:b/>
                <w:bCs/>
                <w:color w:val="FFFFFF"/>
                <w:sz w:val="16"/>
                <w:szCs w:val="16"/>
              </w:rPr>
              <w:t>Intervenants prévus, absents</w:t>
            </w:r>
          </w:p>
        </w:tc>
      </w:tr>
      <w:tr w:rsidR="008F128A" w14:paraId="145F2408" w14:textId="77777777">
        <w:trPr>
          <w:cantSplit/>
        </w:trPr>
        <w:tc>
          <w:tcPr>
            <w:tcW w:w="125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EA39C66" w14:textId="77777777" w:rsidR="008F128A" w:rsidRDefault="00000000">
            <w:pPr>
              <w:spacing w:line="250" w:lineRule="auto"/>
            </w:pPr>
            <w:r>
              <w:rPr>
                <w:rFonts w:ascii="Calibri" w:eastAsia="Calibri" w:hAnsi="Calibri" w:cs="Calibri"/>
                <w:sz w:val="16"/>
                <w:szCs w:val="16"/>
              </w:rPr>
              <w:t>01 · Carnival is an Economy</w:t>
            </w:r>
          </w:p>
        </w:tc>
        <w:tc>
          <w:tcPr>
            <w:tcW w:w="95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5B3EFB6" w14:textId="77777777" w:rsidR="008F128A" w:rsidRDefault="00000000">
            <w:pPr>
              <w:spacing w:line="250" w:lineRule="auto"/>
            </w:pPr>
            <w:r>
              <w:rPr>
                <w:rFonts w:ascii="Calibri" w:eastAsia="Calibri" w:hAnsi="Calibri" w:cs="Calibri"/>
                <w:sz w:val="16"/>
                <w:szCs w:val="16"/>
              </w:rPr>
              <w:t>24 sept. 2026</w:t>
            </w:r>
          </w:p>
        </w:tc>
        <w:tc>
          <w:tcPr>
            <w:tcW w:w="175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3000038" w14:textId="77777777" w:rsidR="008F128A" w:rsidRDefault="00000000">
            <w:pPr>
              <w:spacing w:line="250" w:lineRule="auto"/>
            </w:pPr>
            <w:r>
              <w:rPr>
                <w:rFonts w:ascii="Calibri" w:eastAsia="Calibri" w:hAnsi="Calibri" w:cs="Calibri"/>
                <w:sz w:val="16"/>
                <w:szCs w:val="16"/>
              </w:rPr>
              <w:t>Que voit-on lorsqu'on regarde derrière le défilé ?</w:t>
            </w:r>
          </w:p>
        </w:tc>
        <w:tc>
          <w:tcPr>
            <w:tcW w:w="135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2153BC9" w14:textId="77777777" w:rsidR="008F128A" w:rsidRDefault="00000000">
            <w:pPr>
              <w:spacing w:line="250" w:lineRule="auto"/>
            </w:pPr>
            <w:r>
              <w:rPr>
                <w:rFonts w:ascii="Calibri" w:eastAsia="Calibri" w:hAnsi="Calibri" w:cs="Calibri"/>
                <w:sz w:val="16"/>
                <w:szCs w:val="16"/>
              </w:rPr>
              <w:t>Wilbens Siguineau</w:t>
            </w:r>
          </w:p>
        </w:tc>
        <w:tc>
          <w:tcPr>
            <w:tcW w:w="225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3A366E3" w14:textId="77777777" w:rsidR="008F128A" w:rsidRDefault="00000000">
            <w:pPr>
              <w:spacing w:line="250" w:lineRule="auto"/>
            </w:pPr>
            <w:r>
              <w:rPr>
                <w:rFonts w:ascii="Calibri" w:eastAsia="Calibri" w:hAnsi="Calibri" w:cs="Calibri"/>
                <w:sz w:val="16"/>
                <w:szCs w:val="16"/>
              </w:rPr>
              <w:t>John Herrick Dessources (ancien ministre du Tourisme) ; Muscadin Jean-Yves Jason (ancien maire de Port-au-Prince)</w:t>
            </w:r>
          </w:p>
        </w:tc>
        <w:tc>
          <w:tcPr>
            <w:tcW w:w="185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EAED645" w14:textId="77777777" w:rsidR="008F128A" w:rsidRDefault="00000000">
            <w:pPr>
              <w:spacing w:line="250" w:lineRule="auto"/>
            </w:pPr>
            <w:r>
              <w:rPr>
                <w:rFonts w:ascii="Calibri" w:eastAsia="Calibri" w:hAnsi="Calibri" w:cs="Calibri"/>
                <w:sz w:val="16"/>
                <w:szCs w:val="16"/>
              </w:rPr>
              <w:t>Émilien Blaise (production) ; Jean Christophe Lang (hôtellerie)</w:t>
            </w:r>
          </w:p>
        </w:tc>
      </w:tr>
      <w:tr w:rsidR="008F128A" w14:paraId="4FDD48EB" w14:textId="77777777">
        <w:trPr>
          <w:cantSplit/>
        </w:trPr>
        <w:tc>
          <w:tcPr>
            <w:tcW w:w="125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0F61043" w14:textId="77777777" w:rsidR="008F128A" w:rsidRDefault="00000000">
            <w:pPr>
              <w:spacing w:line="250" w:lineRule="auto"/>
            </w:pPr>
            <w:r>
              <w:rPr>
                <w:rFonts w:ascii="Calibri" w:eastAsia="Calibri" w:hAnsi="Calibri" w:cs="Calibri"/>
                <w:sz w:val="16"/>
                <w:szCs w:val="16"/>
              </w:rPr>
              <w:lastRenderedPageBreak/>
              <w:t>02 · Image, Identity &amp; Value</w:t>
            </w:r>
          </w:p>
        </w:tc>
        <w:tc>
          <w:tcPr>
            <w:tcW w:w="95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ADAAD83" w14:textId="77777777" w:rsidR="008F128A" w:rsidRDefault="00000000">
            <w:pPr>
              <w:spacing w:line="250" w:lineRule="auto"/>
            </w:pPr>
            <w:r>
              <w:rPr>
                <w:rFonts w:ascii="Calibri" w:eastAsia="Calibri" w:hAnsi="Calibri" w:cs="Calibri"/>
                <w:sz w:val="16"/>
                <w:szCs w:val="16"/>
              </w:rPr>
              <w:t>25 sept. 2026</w:t>
            </w:r>
          </w:p>
        </w:tc>
        <w:tc>
          <w:tcPr>
            <w:tcW w:w="175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23F45E4" w14:textId="77777777" w:rsidR="008F128A" w:rsidRDefault="00000000">
            <w:pPr>
              <w:spacing w:line="250" w:lineRule="auto"/>
            </w:pPr>
            <w:r>
              <w:rPr>
                <w:rFonts w:ascii="Calibri" w:eastAsia="Calibri" w:hAnsi="Calibri" w:cs="Calibri"/>
                <w:sz w:val="16"/>
                <w:szCs w:val="16"/>
              </w:rPr>
              <w:t>Avant de vendre Jacmel, qu'est-ce qui la rend désirable ?</w:t>
            </w:r>
          </w:p>
        </w:tc>
        <w:tc>
          <w:tcPr>
            <w:tcW w:w="135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0692AB8" w14:textId="77777777" w:rsidR="008F128A" w:rsidRDefault="00000000">
            <w:pPr>
              <w:spacing w:line="250" w:lineRule="auto"/>
            </w:pPr>
            <w:r>
              <w:rPr>
                <w:rFonts w:ascii="Calibri" w:eastAsia="Calibri" w:hAnsi="Calibri" w:cs="Calibri"/>
                <w:sz w:val="16"/>
                <w:szCs w:val="16"/>
              </w:rPr>
              <w:t>Fridjy Compère (ouverture : Guerline Aimé)</w:t>
            </w:r>
          </w:p>
        </w:tc>
        <w:tc>
          <w:tcPr>
            <w:tcW w:w="225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D98CE74" w14:textId="77777777" w:rsidR="008F128A" w:rsidRDefault="00000000">
            <w:pPr>
              <w:spacing w:line="250" w:lineRule="auto"/>
            </w:pPr>
            <w:r>
              <w:rPr>
                <w:rFonts w:ascii="Calibri" w:eastAsia="Calibri" w:hAnsi="Calibri" w:cs="Calibri"/>
                <w:sz w:val="16"/>
                <w:szCs w:val="16"/>
              </w:rPr>
              <w:t>Jean Elie Gilles (historien) ; Juliette, Lakaymedia.com</w:t>
            </w:r>
          </w:p>
        </w:tc>
        <w:tc>
          <w:tcPr>
            <w:tcW w:w="185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A350A6A" w14:textId="77777777" w:rsidR="008F128A" w:rsidRDefault="00000000">
            <w:pPr>
              <w:spacing w:line="250" w:lineRule="auto"/>
            </w:pPr>
            <w:r>
              <w:rPr>
                <w:rFonts w:ascii="Calibri" w:eastAsia="Calibri" w:hAnsi="Calibri" w:cs="Calibri"/>
                <w:sz w:val="16"/>
                <w:szCs w:val="16"/>
              </w:rPr>
              <w:t>Collinx Mondésir ; Samuel Dameus ; Jonathan Morency (modération)</w:t>
            </w:r>
          </w:p>
        </w:tc>
      </w:tr>
      <w:tr w:rsidR="008F128A" w14:paraId="4FD40911" w14:textId="77777777">
        <w:trPr>
          <w:cantSplit/>
        </w:trPr>
        <w:tc>
          <w:tcPr>
            <w:tcW w:w="125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74332FD" w14:textId="77777777" w:rsidR="008F128A" w:rsidRDefault="00000000">
            <w:pPr>
              <w:spacing w:line="250" w:lineRule="auto"/>
            </w:pPr>
            <w:r>
              <w:rPr>
                <w:rFonts w:ascii="Calibri" w:eastAsia="Calibri" w:hAnsi="Calibri" w:cs="Calibri"/>
                <w:sz w:val="16"/>
                <w:szCs w:val="16"/>
              </w:rPr>
              <w:t>03 · From Culture to Product</w:t>
            </w:r>
          </w:p>
        </w:tc>
        <w:tc>
          <w:tcPr>
            <w:tcW w:w="95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8080905" w14:textId="77777777" w:rsidR="008F128A" w:rsidRDefault="00000000">
            <w:pPr>
              <w:spacing w:line="250" w:lineRule="auto"/>
            </w:pPr>
            <w:r>
              <w:rPr>
                <w:rFonts w:ascii="Calibri" w:eastAsia="Calibri" w:hAnsi="Calibri" w:cs="Calibri"/>
                <w:sz w:val="16"/>
                <w:szCs w:val="16"/>
              </w:rPr>
              <w:t>26 sept. 2026</w:t>
            </w:r>
          </w:p>
        </w:tc>
        <w:tc>
          <w:tcPr>
            <w:tcW w:w="175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74F016D" w14:textId="77777777" w:rsidR="008F128A" w:rsidRDefault="00000000">
            <w:pPr>
              <w:spacing w:line="250" w:lineRule="auto"/>
            </w:pPr>
            <w:r>
              <w:rPr>
                <w:rFonts w:ascii="Calibri" w:eastAsia="Calibri" w:hAnsi="Calibri" w:cs="Calibri"/>
                <w:sz w:val="16"/>
                <w:szCs w:val="16"/>
              </w:rPr>
              <w:t>Qu'est-ce qui peut devenir une expérience sans dénaturer la culture ?</w:t>
            </w:r>
          </w:p>
        </w:tc>
        <w:tc>
          <w:tcPr>
            <w:tcW w:w="135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CF668B2" w14:textId="77777777" w:rsidR="008F128A" w:rsidRDefault="00000000">
            <w:pPr>
              <w:spacing w:line="250" w:lineRule="auto"/>
            </w:pPr>
            <w:r>
              <w:rPr>
                <w:rFonts w:ascii="Calibri" w:eastAsia="Calibri" w:hAnsi="Calibri" w:cs="Calibri"/>
                <w:sz w:val="16"/>
                <w:szCs w:val="16"/>
              </w:rPr>
              <w:t>Charles Kesner Jean Yves</w:t>
            </w:r>
          </w:p>
        </w:tc>
        <w:tc>
          <w:tcPr>
            <w:tcW w:w="225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41B540D" w14:textId="77777777" w:rsidR="008F128A" w:rsidRDefault="00000000">
            <w:pPr>
              <w:spacing w:line="250" w:lineRule="auto"/>
            </w:pPr>
            <w:r>
              <w:rPr>
                <w:rFonts w:ascii="Calibri" w:eastAsia="Calibri" w:hAnsi="Calibri" w:cs="Calibri"/>
                <w:sz w:val="16"/>
                <w:szCs w:val="16"/>
              </w:rPr>
              <w:t>Monique Rocourt (ancienne ministre de la Culture) ; Elsoit Colas (ISPAN) ; Wendy Domond (musique et culture vivante)</w:t>
            </w:r>
          </w:p>
        </w:tc>
        <w:tc>
          <w:tcPr>
            <w:tcW w:w="185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77432F7" w14:textId="77777777" w:rsidR="008F128A" w:rsidRDefault="00000000">
            <w:pPr>
              <w:spacing w:line="250" w:lineRule="auto"/>
            </w:pPr>
            <w:r>
              <w:rPr>
                <w:rFonts w:ascii="Calibri" w:eastAsia="Calibri" w:hAnsi="Calibri" w:cs="Calibri"/>
                <w:sz w:val="16"/>
                <w:szCs w:val="16"/>
              </w:rPr>
              <w:t>Patrick Delatour ; Vady Confident (artisanat)</w:t>
            </w:r>
          </w:p>
        </w:tc>
      </w:tr>
    </w:tbl>
    <w:p w14:paraId="146CBB21" w14:textId="77777777" w:rsidR="008F128A" w:rsidRDefault="00000000">
      <w:pPr>
        <w:pStyle w:val="Source"/>
      </w:pPr>
      <w:r>
        <w:t>Source : programme et enregistrements de la CEW 2026. Univers : 11 personnes intervenues ; 7 personnes prévues, absentes.</w:t>
      </w:r>
    </w:p>
    <w:p w14:paraId="2A538E52" w14:textId="77777777" w:rsidR="008F128A" w:rsidRDefault="00000000">
      <w:pPr>
        <w:pStyle w:val="Heading2"/>
      </w:pPr>
      <w:bookmarkStart w:id="12" w:name="_Toc241614673"/>
      <w:r>
        <w:t>3.2 Sources</w:t>
      </w:r>
      <w:bookmarkEnd w:id="12"/>
    </w:p>
    <w:p w14:paraId="6287B581" w14:textId="77777777" w:rsidR="008F128A" w:rsidRDefault="00000000">
      <w:pPr>
        <w:pStyle w:val="Corpsdetexte"/>
      </w:pPr>
      <w:r>
        <w:t>Le corpus se compose des enregistrements vidéo intégraux des trois sessions ; des transcriptions automatiques produites par Zoom (sessions 01 et 03) ; du résumé automatique de la session 02, dont la transcription n'a pas été conservée ; de quatre prises de la session 01 retranscrites dans Descript puis relues ; enfin, d'un texte écrit remis par Muscadin Jean-Yves Jason à l'issue de la session 01 (Jason, 2026). L'inventaire détaillé figure en annexe A.</w:t>
      </w:r>
    </w:p>
    <w:p w14:paraId="0B4B0E47" w14:textId="77777777" w:rsidR="008F128A" w:rsidRDefault="00000000">
      <w:pPr>
        <w:pStyle w:val="Heading2"/>
      </w:pPr>
      <w:bookmarkStart w:id="13" w:name="_Toc241614674"/>
      <w:r>
        <w:t>3.3 Niveaux de preuve</w:t>
      </w:r>
      <w:bookmarkEnd w:id="13"/>
    </w:p>
    <w:p w14:paraId="596F694C" w14:textId="77777777" w:rsidR="008F128A" w:rsidRDefault="00000000">
      <w:pPr>
        <w:pStyle w:val="Corpsdetexte"/>
      </w:pPr>
      <w:r>
        <w:t>Chaque affirmation est rattachée à l'un des quatre niveaux définis au tableau 2. Seuls les niveaux T et V autorisent une citation entre guillemets.</w:t>
      </w:r>
    </w:p>
    <w:p w14:paraId="22276898" w14:textId="77777777" w:rsidR="008F128A" w:rsidRDefault="00000000">
      <w:pPr>
        <w:pStyle w:val="Lgende"/>
        <w:keepNext/>
      </w:pPr>
      <w:r>
        <w:t>Tableau 2. Niveaux de preuve</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3"/>
        <w:gridCol w:w="4205"/>
        <w:gridCol w:w="2804"/>
      </w:tblGrid>
      <w:tr w:rsidR="008F128A" w14:paraId="4A7CEFD8" w14:textId="77777777">
        <w:trPr>
          <w:cantSplit/>
          <w:tblHeader/>
        </w:trPr>
        <w:tc>
          <w:tcPr>
            <w:tcW w:w="24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5CE45CD8" w14:textId="77777777" w:rsidR="008F128A" w:rsidRDefault="00000000">
            <w:pPr>
              <w:spacing w:line="250" w:lineRule="auto"/>
            </w:pPr>
            <w:r>
              <w:rPr>
                <w:rFonts w:ascii="Calibri" w:eastAsia="Calibri" w:hAnsi="Calibri" w:cs="Calibri"/>
                <w:b/>
                <w:bCs/>
                <w:color w:val="FFFFFF"/>
                <w:sz w:val="17"/>
                <w:szCs w:val="17"/>
              </w:rPr>
              <w:t>Niveau</w:t>
            </w:r>
          </w:p>
        </w:tc>
        <w:tc>
          <w:tcPr>
            <w:tcW w:w="4205"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3FCAAB34" w14:textId="77777777" w:rsidR="008F128A" w:rsidRDefault="00000000">
            <w:pPr>
              <w:spacing w:line="250" w:lineRule="auto"/>
            </w:pPr>
            <w:r>
              <w:rPr>
                <w:rFonts w:ascii="Calibri" w:eastAsia="Calibri" w:hAnsi="Calibri" w:cs="Calibri"/>
                <w:b/>
                <w:bCs/>
                <w:color w:val="FFFFFF"/>
                <w:sz w:val="17"/>
                <w:szCs w:val="17"/>
              </w:rPr>
              <w:t>Définition</w:t>
            </w:r>
          </w:p>
        </w:tc>
        <w:tc>
          <w:tcPr>
            <w:tcW w:w="2804"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5D16B079" w14:textId="77777777" w:rsidR="008F128A" w:rsidRDefault="00000000">
            <w:pPr>
              <w:spacing w:line="250" w:lineRule="auto"/>
            </w:pPr>
            <w:r>
              <w:rPr>
                <w:rFonts w:ascii="Calibri" w:eastAsia="Calibri" w:hAnsi="Calibri" w:cs="Calibri"/>
                <w:b/>
                <w:bCs/>
                <w:color w:val="FFFFFF"/>
                <w:sz w:val="17"/>
                <w:szCs w:val="17"/>
              </w:rPr>
              <w:t>Usage</w:t>
            </w:r>
          </w:p>
        </w:tc>
      </w:tr>
      <w:tr w:rsidR="008F128A" w14:paraId="189D522C" w14:textId="77777777">
        <w:trPr>
          <w:cantSplit/>
        </w:trPr>
        <w:tc>
          <w:tcPr>
            <w:tcW w:w="24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609FBCC" w14:textId="77777777" w:rsidR="008F128A" w:rsidRDefault="00000000">
            <w:pPr>
              <w:spacing w:line="250" w:lineRule="auto"/>
            </w:pPr>
            <w:r>
              <w:rPr>
                <w:rFonts w:ascii="Calibri" w:eastAsia="Calibri" w:hAnsi="Calibri" w:cs="Calibri"/>
                <w:sz w:val="17"/>
                <w:szCs w:val="17"/>
              </w:rPr>
              <w:t>T · Texte</w:t>
            </w:r>
          </w:p>
        </w:tc>
        <w:tc>
          <w:tcPr>
            <w:tcW w:w="4205"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80DA224" w14:textId="77777777" w:rsidR="008F128A" w:rsidRDefault="00000000">
            <w:pPr>
              <w:spacing w:line="250" w:lineRule="auto"/>
            </w:pPr>
            <w:r>
              <w:rPr>
                <w:rFonts w:ascii="Calibri" w:eastAsia="Calibri" w:hAnsi="Calibri" w:cs="Calibri"/>
                <w:sz w:val="17"/>
                <w:szCs w:val="17"/>
              </w:rPr>
              <w:t>Écrit remis par l'intervenant</w:t>
            </w:r>
          </w:p>
        </w:tc>
        <w:tc>
          <w:tcPr>
            <w:tcW w:w="28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E122188" w14:textId="77777777" w:rsidR="008F128A" w:rsidRDefault="00000000">
            <w:pPr>
              <w:spacing w:line="250" w:lineRule="auto"/>
            </w:pPr>
            <w:r>
              <w:rPr>
                <w:rFonts w:ascii="Calibri" w:eastAsia="Calibri" w:hAnsi="Calibri" w:cs="Calibri"/>
                <w:sz w:val="17"/>
                <w:szCs w:val="17"/>
              </w:rPr>
              <w:t>Citable</w:t>
            </w:r>
          </w:p>
        </w:tc>
      </w:tr>
      <w:tr w:rsidR="008F128A" w14:paraId="025FF916" w14:textId="77777777">
        <w:trPr>
          <w:cantSplit/>
        </w:trPr>
        <w:tc>
          <w:tcPr>
            <w:tcW w:w="24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6662DE2" w14:textId="77777777" w:rsidR="008F128A" w:rsidRDefault="00000000">
            <w:pPr>
              <w:spacing w:line="250" w:lineRule="auto"/>
            </w:pPr>
            <w:r>
              <w:rPr>
                <w:rFonts w:ascii="Calibri" w:eastAsia="Calibri" w:hAnsi="Calibri" w:cs="Calibri"/>
                <w:sz w:val="17"/>
                <w:szCs w:val="17"/>
              </w:rPr>
              <w:t>V · Vérifié</w:t>
            </w:r>
          </w:p>
        </w:tc>
        <w:tc>
          <w:tcPr>
            <w:tcW w:w="4205"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8FB3760" w14:textId="77777777" w:rsidR="008F128A" w:rsidRDefault="00000000">
            <w:pPr>
              <w:spacing w:line="250" w:lineRule="auto"/>
            </w:pPr>
            <w:r>
              <w:rPr>
                <w:rFonts w:ascii="Calibri" w:eastAsia="Calibri" w:hAnsi="Calibri" w:cs="Calibri"/>
                <w:sz w:val="17"/>
                <w:szCs w:val="17"/>
              </w:rPr>
              <w:t>Transcription Descript relue à l'écoute</w:t>
            </w:r>
          </w:p>
        </w:tc>
        <w:tc>
          <w:tcPr>
            <w:tcW w:w="28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8885CE1" w14:textId="77777777" w:rsidR="008F128A" w:rsidRDefault="00000000">
            <w:pPr>
              <w:spacing w:line="250" w:lineRule="auto"/>
            </w:pPr>
            <w:r>
              <w:rPr>
                <w:rFonts w:ascii="Calibri" w:eastAsia="Calibri" w:hAnsi="Calibri" w:cs="Calibri"/>
                <w:sz w:val="17"/>
                <w:szCs w:val="17"/>
              </w:rPr>
              <w:t>Citable</w:t>
            </w:r>
          </w:p>
        </w:tc>
      </w:tr>
      <w:tr w:rsidR="008F128A" w14:paraId="01F8DEB0" w14:textId="77777777">
        <w:trPr>
          <w:cantSplit/>
        </w:trPr>
        <w:tc>
          <w:tcPr>
            <w:tcW w:w="24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6E37033" w14:textId="77777777" w:rsidR="008F128A" w:rsidRDefault="00000000">
            <w:pPr>
              <w:spacing w:line="250" w:lineRule="auto"/>
            </w:pPr>
            <w:r>
              <w:rPr>
                <w:rFonts w:ascii="Calibri" w:eastAsia="Calibri" w:hAnsi="Calibri" w:cs="Calibri"/>
                <w:sz w:val="17"/>
                <w:szCs w:val="17"/>
              </w:rPr>
              <w:t>A · À vérifier</w:t>
            </w:r>
          </w:p>
        </w:tc>
        <w:tc>
          <w:tcPr>
            <w:tcW w:w="4205"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E5418A4" w14:textId="77777777" w:rsidR="008F128A" w:rsidRDefault="00000000">
            <w:pPr>
              <w:spacing w:line="250" w:lineRule="auto"/>
            </w:pPr>
            <w:r>
              <w:rPr>
                <w:rFonts w:ascii="Calibri" w:eastAsia="Calibri" w:hAnsi="Calibri" w:cs="Calibri"/>
                <w:sz w:val="17"/>
                <w:szCs w:val="17"/>
              </w:rPr>
              <w:t>Transcription automatique Zoom ou résumé automatique</w:t>
            </w:r>
          </w:p>
        </w:tc>
        <w:tc>
          <w:tcPr>
            <w:tcW w:w="28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B421A55" w14:textId="77777777" w:rsidR="008F128A" w:rsidRDefault="00000000">
            <w:pPr>
              <w:spacing w:line="250" w:lineRule="auto"/>
            </w:pPr>
            <w:r>
              <w:rPr>
                <w:rFonts w:ascii="Calibri" w:eastAsia="Calibri" w:hAnsi="Calibri" w:cs="Calibri"/>
                <w:sz w:val="17"/>
                <w:szCs w:val="17"/>
              </w:rPr>
              <w:t>Paraphrase uniquement</w:t>
            </w:r>
          </w:p>
        </w:tc>
      </w:tr>
      <w:tr w:rsidR="008F128A" w14:paraId="1F20F736" w14:textId="77777777">
        <w:trPr>
          <w:cantSplit/>
        </w:trPr>
        <w:tc>
          <w:tcPr>
            <w:tcW w:w="24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4383B511" w14:textId="77777777" w:rsidR="008F128A" w:rsidRDefault="00000000">
            <w:pPr>
              <w:spacing w:line="250" w:lineRule="auto"/>
            </w:pPr>
            <w:r>
              <w:rPr>
                <w:rFonts w:ascii="Calibri" w:eastAsia="Calibri" w:hAnsi="Calibri" w:cs="Calibri"/>
                <w:sz w:val="17"/>
                <w:szCs w:val="17"/>
              </w:rPr>
              <w:t>D · Déclaration chiffrée</w:t>
            </w:r>
          </w:p>
        </w:tc>
        <w:tc>
          <w:tcPr>
            <w:tcW w:w="4205"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EC630AF" w14:textId="77777777" w:rsidR="008F128A" w:rsidRDefault="00000000">
            <w:pPr>
              <w:spacing w:line="250" w:lineRule="auto"/>
            </w:pPr>
            <w:r>
              <w:rPr>
                <w:rFonts w:ascii="Calibri" w:eastAsia="Calibri" w:hAnsi="Calibri" w:cs="Calibri"/>
                <w:sz w:val="17"/>
                <w:szCs w:val="17"/>
              </w:rPr>
              <w:t>Montant ou effectif énoncé oralement</w:t>
            </w:r>
          </w:p>
        </w:tc>
        <w:tc>
          <w:tcPr>
            <w:tcW w:w="28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04467C73" w14:textId="77777777" w:rsidR="008F128A" w:rsidRDefault="00000000">
            <w:pPr>
              <w:spacing w:line="250" w:lineRule="auto"/>
            </w:pPr>
            <w:r>
              <w:rPr>
                <w:rFonts w:ascii="Calibri" w:eastAsia="Calibri" w:hAnsi="Calibri" w:cs="Calibri"/>
                <w:sz w:val="17"/>
                <w:szCs w:val="17"/>
              </w:rPr>
              <w:t>Jamais présenté comme résultat ; recensé en annexe B</w:t>
            </w:r>
          </w:p>
        </w:tc>
      </w:tr>
    </w:tbl>
    <w:p w14:paraId="4EB88545" w14:textId="77777777" w:rsidR="008F128A" w:rsidRDefault="00000000">
      <w:pPr>
        <w:pStyle w:val="Heading2"/>
      </w:pPr>
      <w:bookmarkStart w:id="14" w:name="_Toc241614675"/>
      <w:r>
        <w:t>3.4 Analyse</w:t>
      </w:r>
      <w:bookmarkEnd w:id="14"/>
    </w:p>
    <w:p w14:paraId="17DD79D1" w14:textId="77777777" w:rsidR="008F128A" w:rsidRDefault="00000000">
      <w:pPr>
        <w:pStyle w:val="Corpsdetexte"/>
      </w:pPr>
      <w:r>
        <w:t xml:space="preserve">Les interventions ont fait l'objet d'un codage déductif selon les sept maillons de la grille (section 2), complétés de deux catégories : gouvernance et garde-fous. Une position est retenue au titre de </w:t>
      </w:r>
      <w:r>
        <w:rPr>
          <w:b/>
          <w:bCs/>
        </w:rPr>
        <w:t>constat</w:t>
      </w:r>
      <w:r>
        <w:t xml:space="preserve"> dès lors qu'au moins deux intervenants de profils distincts la formulent de manière indépendante. Une position portée par un seul intervenant est rapportée comme </w:t>
      </w:r>
      <w:r>
        <w:rPr>
          <w:b/>
          <w:bCs/>
        </w:rPr>
        <w:t>proposition individuelle</w:t>
      </w:r>
      <w:r>
        <w:t xml:space="preserve"> ; les désaccords le sont comme </w:t>
      </w:r>
      <w:r>
        <w:rPr>
          <w:b/>
          <w:bCs/>
        </w:rPr>
        <w:t>tensions</w:t>
      </w:r>
      <w:r>
        <w:t xml:space="preserve"> (section 4.4).</w:t>
      </w:r>
    </w:p>
    <w:p w14:paraId="269700EC" w14:textId="77777777" w:rsidR="008F128A" w:rsidRDefault="00000000">
      <w:pPr>
        <w:pStyle w:val="Heading2"/>
      </w:pPr>
      <w:bookmarkStart w:id="15" w:name="_Toc241614676"/>
      <w:r>
        <w:t>3.5 Éthique</w:t>
      </w:r>
      <w:bookmarkEnd w:id="15"/>
    </w:p>
    <w:p w14:paraId="0A0B27D8" w14:textId="77777777" w:rsidR="008F128A" w:rsidRDefault="00000000">
      <w:pPr>
        <w:pStyle w:val="Corpsdetexte"/>
      </w:pPr>
      <w:r>
        <w:t>Les sessions étaient publiques et diffusées en direct ; les intervenants s'y exprimaient en leur nom et en leur qualité, de sorte que les propos leur sont attribués nominativement. Les passages qui leur sont prêtés leur seront soumis pour correction préalablement à toute diffusion du présent document hors du Carnival Economy Lab. Aucune donnée personnelle n'est traitée, hormis les noms et fonctions publiques.</w:t>
      </w:r>
    </w:p>
    <w:p w14:paraId="69042F3B" w14:textId="77777777" w:rsidR="008F128A" w:rsidRDefault="00000000">
      <w:pPr>
        <w:pStyle w:val="Heading1"/>
      </w:pPr>
      <w:bookmarkStart w:id="16" w:name="_Toc241614677"/>
      <w:r>
        <w:lastRenderedPageBreak/>
        <w:t>4. Résultats</w:t>
      </w:r>
      <w:bookmarkEnd w:id="16"/>
    </w:p>
    <w:p w14:paraId="6094D940" w14:textId="77777777" w:rsidR="008F128A" w:rsidRDefault="00000000">
      <w:pPr>
        <w:pStyle w:val="Heading2"/>
      </w:pPr>
      <w:bookmarkStart w:id="17" w:name="_Toc241614678"/>
      <w:r>
        <w:t>4.1 Six constats convergents</w:t>
      </w:r>
      <w:bookmarkEnd w:id="17"/>
    </w:p>
    <w:p w14:paraId="495F5EE4" w14:textId="77777777" w:rsidR="008F128A" w:rsidRDefault="00000000">
      <w:pPr>
        <w:pStyle w:val="Corpsdetexte"/>
      </w:pPr>
      <w:r>
        <w:t>Six positions satisfont à la règle de convergence (tableau 3). Elles désignent un problème de nature d'abord institutionnelle : les intervenants s'accordent sur la richesse des ressources culturelles de Jacmel et situent la carence dans l'organisation, la mesure et la continuité.</w:t>
      </w:r>
    </w:p>
    <w:p w14:paraId="6AC82738" w14:textId="77777777" w:rsidR="008F128A" w:rsidRDefault="00000000">
      <w:pPr>
        <w:pStyle w:val="Lgende"/>
        <w:keepNext/>
      </w:pPr>
      <w:r>
        <w:t>Tableau 3. Constats convergents et niveau de preuve</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3"/>
        <w:gridCol w:w="4606"/>
        <w:gridCol w:w="2503"/>
      </w:tblGrid>
      <w:tr w:rsidR="008F128A" w14:paraId="58E33E54" w14:textId="77777777">
        <w:trPr>
          <w:cantSplit/>
          <w:tblHeader/>
        </w:trPr>
        <w:tc>
          <w:tcPr>
            <w:tcW w:w="23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1B9579BF" w14:textId="77777777" w:rsidR="008F128A" w:rsidRDefault="00000000">
            <w:pPr>
              <w:spacing w:line="250" w:lineRule="auto"/>
            </w:pPr>
            <w:r>
              <w:rPr>
                <w:rFonts w:ascii="Calibri" w:eastAsia="Calibri" w:hAnsi="Calibri" w:cs="Calibri"/>
                <w:b/>
                <w:bCs/>
                <w:color w:val="FFFFFF"/>
                <w:sz w:val="17"/>
                <w:szCs w:val="17"/>
              </w:rPr>
              <w:t>Constat</w:t>
            </w:r>
          </w:p>
        </w:tc>
        <w:tc>
          <w:tcPr>
            <w:tcW w:w="4606"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506C452A" w14:textId="77777777" w:rsidR="008F128A" w:rsidRDefault="00000000">
            <w:pPr>
              <w:spacing w:line="250" w:lineRule="auto"/>
            </w:pPr>
            <w:r>
              <w:rPr>
                <w:rFonts w:ascii="Calibri" w:eastAsia="Calibri" w:hAnsi="Calibri" w:cs="Calibri"/>
                <w:b/>
                <w:bCs/>
                <w:color w:val="FFFFFF"/>
                <w:sz w:val="17"/>
                <w:szCs w:val="17"/>
              </w:rPr>
              <w:t>Formulation synthétique</w:t>
            </w:r>
          </w:p>
        </w:tc>
        <w:tc>
          <w:tcPr>
            <w:tcW w:w="25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64A63F9C" w14:textId="77777777" w:rsidR="008F128A" w:rsidRDefault="00000000">
            <w:pPr>
              <w:spacing w:line="250" w:lineRule="auto"/>
            </w:pPr>
            <w:r>
              <w:rPr>
                <w:rFonts w:ascii="Calibri" w:eastAsia="Calibri" w:hAnsi="Calibri" w:cs="Calibri"/>
                <w:b/>
                <w:bCs/>
                <w:color w:val="FFFFFF"/>
                <w:sz w:val="17"/>
                <w:szCs w:val="17"/>
              </w:rPr>
              <w:t>Intervenants (niveau)</w:t>
            </w:r>
          </w:p>
        </w:tc>
      </w:tr>
      <w:tr w:rsidR="008F128A" w14:paraId="23AF9745" w14:textId="77777777">
        <w:trPr>
          <w:cantSplit/>
        </w:trPr>
        <w:tc>
          <w:tcPr>
            <w:tcW w:w="23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0DB039F" w14:textId="77777777" w:rsidR="008F128A" w:rsidRDefault="00000000">
            <w:pPr>
              <w:spacing w:line="250" w:lineRule="auto"/>
            </w:pPr>
            <w:r>
              <w:rPr>
                <w:rFonts w:ascii="Calibri" w:eastAsia="Calibri" w:hAnsi="Calibri" w:cs="Calibri"/>
                <w:sz w:val="17"/>
                <w:szCs w:val="17"/>
              </w:rPr>
              <w:t>C1 · Absence de structure permanente</w:t>
            </w:r>
          </w:p>
        </w:tc>
        <w:tc>
          <w:tcPr>
            <w:tcW w:w="4606"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D269BD8" w14:textId="77777777" w:rsidR="008F128A" w:rsidRDefault="00000000">
            <w:pPr>
              <w:spacing w:line="250" w:lineRule="auto"/>
            </w:pPr>
            <w:r>
              <w:rPr>
                <w:rFonts w:ascii="Calibri" w:eastAsia="Calibri" w:hAnsi="Calibri" w:cs="Calibri"/>
                <w:sz w:val="17"/>
                <w:szCs w:val="17"/>
              </w:rPr>
              <w:t>Chaque édition est préparée dans l'urgence, sans plan pluriannuel ni calendrier arrêté à l'avance</w:t>
            </w:r>
          </w:p>
        </w:tc>
        <w:tc>
          <w:tcPr>
            <w:tcW w:w="25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D355FF9" w14:textId="77777777" w:rsidR="008F128A" w:rsidRDefault="00000000">
            <w:pPr>
              <w:spacing w:line="250" w:lineRule="auto"/>
            </w:pPr>
            <w:r>
              <w:rPr>
                <w:rFonts w:ascii="Calibri" w:eastAsia="Calibri" w:hAnsi="Calibri" w:cs="Calibri"/>
                <w:sz w:val="17"/>
                <w:szCs w:val="17"/>
              </w:rPr>
              <w:t>Jason (V, T) ; Dessources (A) ; Rocourt (A)</w:t>
            </w:r>
          </w:p>
        </w:tc>
      </w:tr>
      <w:tr w:rsidR="008F128A" w14:paraId="44430743" w14:textId="77777777">
        <w:trPr>
          <w:cantSplit/>
        </w:trPr>
        <w:tc>
          <w:tcPr>
            <w:tcW w:w="23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24AF44E" w14:textId="77777777" w:rsidR="008F128A" w:rsidRDefault="00000000">
            <w:pPr>
              <w:spacing w:line="250" w:lineRule="auto"/>
            </w:pPr>
            <w:r>
              <w:rPr>
                <w:rFonts w:ascii="Calibri" w:eastAsia="Calibri" w:hAnsi="Calibri" w:cs="Calibri"/>
                <w:sz w:val="17"/>
                <w:szCs w:val="17"/>
              </w:rPr>
              <w:t>C2 · Absence de mémoire technique</w:t>
            </w:r>
          </w:p>
        </w:tc>
        <w:tc>
          <w:tcPr>
            <w:tcW w:w="4606"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08B1DB1" w14:textId="77777777" w:rsidR="008F128A" w:rsidRDefault="00000000">
            <w:pPr>
              <w:spacing w:line="250" w:lineRule="auto"/>
            </w:pPr>
            <w:r>
              <w:rPr>
                <w:rFonts w:ascii="Calibri" w:eastAsia="Calibri" w:hAnsi="Calibri" w:cs="Calibri"/>
                <w:sz w:val="17"/>
                <w:szCs w:val="17"/>
              </w:rPr>
              <w:t>Les archives des éditions antérieures sont indisponibles ; aucune comparaison d'une année sur l'autre n'est possible</w:t>
            </w:r>
          </w:p>
        </w:tc>
        <w:tc>
          <w:tcPr>
            <w:tcW w:w="25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3FEE278" w14:textId="77777777" w:rsidR="008F128A" w:rsidRDefault="00000000">
            <w:pPr>
              <w:spacing w:line="250" w:lineRule="auto"/>
            </w:pPr>
            <w:r>
              <w:rPr>
                <w:rFonts w:ascii="Calibri" w:eastAsia="Calibri" w:hAnsi="Calibri" w:cs="Calibri"/>
                <w:sz w:val="17"/>
                <w:szCs w:val="17"/>
              </w:rPr>
              <w:t>Jason (V, T) ; Dessources (A) ; Gilles (A)</w:t>
            </w:r>
          </w:p>
        </w:tc>
      </w:tr>
      <w:tr w:rsidR="008F128A" w14:paraId="127AF8AA" w14:textId="77777777">
        <w:trPr>
          <w:cantSplit/>
        </w:trPr>
        <w:tc>
          <w:tcPr>
            <w:tcW w:w="23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A7A5DDF" w14:textId="77777777" w:rsidR="008F128A" w:rsidRDefault="00000000">
            <w:pPr>
              <w:spacing w:line="250" w:lineRule="auto"/>
            </w:pPr>
            <w:r>
              <w:rPr>
                <w:rFonts w:ascii="Calibri" w:eastAsia="Calibri" w:hAnsi="Calibri" w:cs="Calibri"/>
                <w:sz w:val="17"/>
                <w:szCs w:val="17"/>
              </w:rPr>
              <w:t>C3 · Financement non concerté</w:t>
            </w:r>
          </w:p>
        </w:tc>
        <w:tc>
          <w:tcPr>
            <w:tcW w:w="4606"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3700742" w14:textId="77777777" w:rsidR="008F128A" w:rsidRDefault="00000000">
            <w:pPr>
              <w:spacing w:line="250" w:lineRule="auto"/>
            </w:pPr>
            <w:r>
              <w:rPr>
                <w:rFonts w:ascii="Calibri" w:eastAsia="Calibri" w:hAnsi="Calibri" w:cs="Calibri"/>
                <w:sz w:val="17"/>
                <w:szCs w:val="17"/>
              </w:rPr>
              <w:t>Les dotations de l'État central sont arrêtées sans projet discuté avec la commune</w:t>
            </w:r>
          </w:p>
        </w:tc>
        <w:tc>
          <w:tcPr>
            <w:tcW w:w="25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BD34140" w14:textId="77777777" w:rsidR="008F128A" w:rsidRDefault="00000000">
            <w:pPr>
              <w:spacing w:line="250" w:lineRule="auto"/>
            </w:pPr>
            <w:r>
              <w:rPr>
                <w:rFonts w:ascii="Calibri" w:eastAsia="Calibri" w:hAnsi="Calibri" w:cs="Calibri"/>
                <w:sz w:val="17"/>
                <w:szCs w:val="17"/>
              </w:rPr>
              <w:t>Jason (V) ; Gilles (A) ; Domond (A)</w:t>
            </w:r>
          </w:p>
        </w:tc>
      </w:tr>
      <w:tr w:rsidR="008F128A" w14:paraId="482574F1" w14:textId="77777777">
        <w:trPr>
          <w:cantSplit/>
        </w:trPr>
        <w:tc>
          <w:tcPr>
            <w:tcW w:w="23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2A23F05" w14:textId="77777777" w:rsidR="008F128A" w:rsidRDefault="00000000">
            <w:pPr>
              <w:spacing w:line="250" w:lineRule="auto"/>
            </w:pPr>
            <w:r>
              <w:rPr>
                <w:rFonts w:ascii="Calibri" w:eastAsia="Calibri" w:hAnsi="Calibri" w:cs="Calibri"/>
                <w:sz w:val="17"/>
                <w:szCs w:val="17"/>
              </w:rPr>
              <w:t>C4 · Valeur créée autour du défilé</w:t>
            </w:r>
          </w:p>
        </w:tc>
        <w:tc>
          <w:tcPr>
            <w:tcW w:w="4606"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5584B33" w14:textId="77777777" w:rsidR="008F128A" w:rsidRDefault="00000000">
            <w:pPr>
              <w:spacing w:line="250" w:lineRule="auto"/>
            </w:pPr>
            <w:r>
              <w:rPr>
                <w:rFonts w:ascii="Calibri" w:eastAsia="Calibri" w:hAnsi="Calibri" w:cs="Calibri"/>
                <w:sz w:val="17"/>
                <w:szCs w:val="17"/>
              </w:rPr>
              <w:t>L'essentiel de la dépense se porte sur l'hébergement, la restauration, le transport, les activités, le commerce, les souvenirs et les excursions</w:t>
            </w:r>
          </w:p>
        </w:tc>
        <w:tc>
          <w:tcPr>
            <w:tcW w:w="25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749E00F" w14:textId="77777777" w:rsidR="008F128A" w:rsidRDefault="00000000">
            <w:pPr>
              <w:spacing w:line="250" w:lineRule="auto"/>
            </w:pPr>
            <w:r>
              <w:rPr>
                <w:rFonts w:ascii="Calibri" w:eastAsia="Calibri" w:hAnsi="Calibri" w:cs="Calibri"/>
                <w:sz w:val="17"/>
                <w:szCs w:val="17"/>
              </w:rPr>
              <w:t>Dessources (V) ; Jason (T) ; Rocourt (A)</w:t>
            </w:r>
          </w:p>
        </w:tc>
      </w:tr>
      <w:tr w:rsidR="008F128A" w14:paraId="58884EB5" w14:textId="77777777">
        <w:trPr>
          <w:cantSplit/>
        </w:trPr>
        <w:tc>
          <w:tcPr>
            <w:tcW w:w="23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004250E" w14:textId="77777777" w:rsidR="008F128A" w:rsidRDefault="00000000">
            <w:pPr>
              <w:spacing w:line="250" w:lineRule="auto"/>
            </w:pPr>
            <w:r>
              <w:rPr>
                <w:rFonts w:ascii="Calibri" w:eastAsia="Calibri" w:hAnsi="Calibri" w:cs="Calibri"/>
                <w:sz w:val="17"/>
                <w:szCs w:val="17"/>
              </w:rPr>
              <w:t>C5 · Divergence entre dépense et richesse locale</w:t>
            </w:r>
          </w:p>
        </w:tc>
        <w:tc>
          <w:tcPr>
            <w:tcW w:w="4606"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A0E6C52" w14:textId="77777777" w:rsidR="008F128A" w:rsidRDefault="00000000">
            <w:pPr>
              <w:spacing w:line="250" w:lineRule="auto"/>
            </w:pPr>
            <w:r>
              <w:rPr>
                <w:rFonts w:ascii="Calibri" w:eastAsia="Calibri" w:hAnsi="Calibri" w:cs="Calibri"/>
                <w:sz w:val="17"/>
                <w:szCs w:val="17"/>
              </w:rPr>
              <w:t>Seule la part rémunérant le travail et les intrants locaux demeure à Jacmel ; les producteurs locaux s'avèrent parfois plus perdants que les vendeurs venus d'ailleurs</w:t>
            </w:r>
          </w:p>
        </w:tc>
        <w:tc>
          <w:tcPr>
            <w:tcW w:w="25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65E3E49" w14:textId="77777777" w:rsidR="008F128A" w:rsidRDefault="00000000">
            <w:pPr>
              <w:spacing w:line="250" w:lineRule="auto"/>
            </w:pPr>
            <w:r>
              <w:rPr>
                <w:rFonts w:ascii="Calibri" w:eastAsia="Calibri" w:hAnsi="Calibri" w:cs="Calibri"/>
                <w:sz w:val="17"/>
                <w:szCs w:val="17"/>
              </w:rPr>
              <w:t>Jason (V, T) ; Dessources (A) ; Siguineau (A)</w:t>
            </w:r>
          </w:p>
        </w:tc>
      </w:tr>
      <w:tr w:rsidR="008F128A" w14:paraId="07A07A14" w14:textId="77777777">
        <w:trPr>
          <w:cantSplit/>
        </w:trPr>
        <w:tc>
          <w:tcPr>
            <w:tcW w:w="23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00406DF1" w14:textId="77777777" w:rsidR="008F128A" w:rsidRDefault="00000000">
            <w:pPr>
              <w:spacing w:line="250" w:lineRule="auto"/>
            </w:pPr>
            <w:r>
              <w:rPr>
                <w:rFonts w:ascii="Calibri" w:eastAsia="Calibri" w:hAnsi="Calibri" w:cs="Calibri"/>
                <w:sz w:val="17"/>
                <w:szCs w:val="17"/>
              </w:rPr>
              <w:t>C6 · Précarité des créateurs hors saison</w:t>
            </w:r>
          </w:p>
        </w:tc>
        <w:tc>
          <w:tcPr>
            <w:tcW w:w="4606"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42C67784" w14:textId="77777777" w:rsidR="008F128A" w:rsidRDefault="00000000">
            <w:pPr>
              <w:spacing w:line="250" w:lineRule="auto"/>
            </w:pPr>
            <w:r>
              <w:rPr>
                <w:rFonts w:ascii="Calibri" w:eastAsia="Calibri" w:hAnsi="Calibri" w:cs="Calibri"/>
                <w:sz w:val="17"/>
                <w:szCs w:val="17"/>
              </w:rPr>
              <w:t>Une activité intense de deux mois, suivie de dix mois quasi inactifs, ne saurait constituer une filière</w:t>
            </w:r>
          </w:p>
        </w:tc>
        <w:tc>
          <w:tcPr>
            <w:tcW w:w="25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2E3C8F0" w14:textId="77777777" w:rsidR="008F128A" w:rsidRDefault="00000000">
            <w:pPr>
              <w:spacing w:line="250" w:lineRule="auto"/>
            </w:pPr>
            <w:r>
              <w:rPr>
                <w:rFonts w:ascii="Calibri" w:eastAsia="Calibri" w:hAnsi="Calibri" w:cs="Calibri"/>
                <w:sz w:val="17"/>
                <w:szCs w:val="17"/>
              </w:rPr>
              <w:t>Jason (T) ; Domond (A) ; Gilles (A)</w:t>
            </w:r>
          </w:p>
        </w:tc>
      </w:tr>
    </w:tbl>
    <w:p w14:paraId="32781168" w14:textId="77777777" w:rsidR="008F128A" w:rsidRDefault="00000000">
      <w:pPr>
        <w:pStyle w:val="Source"/>
      </w:pPr>
      <w:r>
        <w:t>Source : codage des sessions 01 à 03 de la CEW 2026 et de Jason (2026). Niveaux : voir tableau 2.</w:t>
      </w:r>
    </w:p>
    <w:p w14:paraId="434088D7" w14:textId="77777777" w:rsidR="008F128A" w:rsidRDefault="00000000">
      <w:pPr>
        <w:pStyle w:val="Corpsdetexte"/>
      </w:pPr>
      <w:r>
        <w:t>Jason (2026) résume l'enjeu commun en ces termes : il s'agit de « passer de l'organisation annuelle d'une fête à la construction durable d'une économie ». Gilles (A) y apporte un contrepoint historique : au cours des années 1970 et 1980, le carnaval aurait été autofinancé et rentable pour les commerçants et artisans jacméliens. Ce point, décisif pour l'argumentation, demeure à vérifier.</w:t>
      </w:r>
    </w:p>
    <w:p w14:paraId="1DCE7394" w14:textId="77777777" w:rsidR="008F128A" w:rsidRDefault="00000000">
      <w:pPr>
        <w:pStyle w:val="Heading2"/>
      </w:pPr>
      <w:bookmarkStart w:id="18" w:name="_Toc241614679"/>
      <w:r>
        <w:t>4.2 Lecture par maillon</w:t>
      </w:r>
      <w:bookmarkEnd w:id="18"/>
    </w:p>
    <w:p w14:paraId="1434B595" w14:textId="77777777" w:rsidR="008F128A" w:rsidRDefault="00000000">
      <w:pPr>
        <w:pStyle w:val="Corpsdetexte"/>
      </w:pPr>
      <w:r>
        <w:t>Le tableau 4 rapporte, pour chaque maillon, les éléments décrits par les intervenants et la contrainte qu'ils ont identifiée. Les maillons 6 et 7, qui relevaient des sessions non tenues, sont les moins documentés.</w:t>
      </w:r>
    </w:p>
    <w:p w14:paraId="4526CD2D" w14:textId="77777777" w:rsidR="008F128A" w:rsidRDefault="00000000">
      <w:pPr>
        <w:pStyle w:val="Lgende"/>
        <w:keepNext/>
      </w:pPr>
      <w:r>
        <w:t>Tableau 4. Contraintes identifiées par maillon de la chaîne de valeur</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2"/>
        <w:gridCol w:w="2804"/>
        <w:gridCol w:w="2703"/>
        <w:gridCol w:w="2203"/>
      </w:tblGrid>
      <w:tr w:rsidR="008F128A" w14:paraId="524D71CB" w14:textId="77777777">
        <w:trPr>
          <w:cantSplit/>
          <w:tblHeader/>
        </w:trPr>
        <w:tc>
          <w:tcPr>
            <w:tcW w:w="170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7C9A0C17" w14:textId="77777777" w:rsidR="008F128A" w:rsidRDefault="00000000">
            <w:pPr>
              <w:spacing w:line="250" w:lineRule="auto"/>
            </w:pPr>
            <w:r>
              <w:rPr>
                <w:rFonts w:ascii="Calibri" w:eastAsia="Calibri" w:hAnsi="Calibri" w:cs="Calibri"/>
                <w:b/>
                <w:bCs/>
                <w:color w:val="FFFFFF"/>
                <w:sz w:val="17"/>
                <w:szCs w:val="17"/>
              </w:rPr>
              <w:t>Maillon</w:t>
            </w:r>
          </w:p>
        </w:tc>
        <w:tc>
          <w:tcPr>
            <w:tcW w:w="2804"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3CCEB8E7" w14:textId="77777777" w:rsidR="008F128A" w:rsidRDefault="00000000">
            <w:pPr>
              <w:spacing w:line="250" w:lineRule="auto"/>
            </w:pPr>
            <w:r>
              <w:rPr>
                <w:rFonts w:ascii="Calibri" w:eastAsia="Calibri" w:hAnsi="Calibri" w:cs="Calibri"/>
                <w:b/>
                <w:bCs/>
                <w:color w:val="FFFFFF"/>
                <w:sz w:val="17"/>
                <w:szCs w:val="17"/>
              </w:rPr>
              <w:t>Éléments décrits</w:t>
            </w:r>
          </w:p>
        </w:tc>
        <w:tc>
          <w:tcPr>
            <w:tcW w:w="27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61985AFF" w14:textId="77777777" w:rsidR="008F128A" w:rsidRDefault="00000000">
            <w:pPr>
              <w:spacing w:line="250" w:lineRule="auto"/>
            </w:pPr>
            <w:r>
              <w:rPr>
                <w:rFonts w:ascii="Calibri" w:eastAsia="Calibri" w:hAnsi="Calibri" w:cs="Calibri"/>
                <w:b/>
                <w:bCs/>
                <w:color w:val="FFFFFF"/>
                <w:sz w:val="17"/>
                <w:szCs w:val="17"/>
              </w:rPr>
              <w:t>Contrainte identifiée</w:t>
            </w:r>
          </w:p>
        </w:tc>
        <w:tc>
          <w:tcPr>
            <w:tcW w:w="22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2CE7C3C0" w14:textId="77777777" w:rsidR="008F128A" w:rsidRDefault="00000000">
            <w:pPr>
              <w:spacing w:line="250" w:lineRule="auto"/>
            </w:pPr>
            <w:r>
              <w:rPr>
                <w:rFonts w:ascii="Calibri" w:eastAsia="Calibri" w:hAnsi="Calibri" w:cs="Calibri"/>
                <w:b/>
                <w:bCs/>
                <w:color w:val="FFFFFF"/>
                <w:sz w:val="17"/>
                <w:szCs w:val="17"/>
              </w:rPr>
              <w:t>Sources (niveau)</w:t>
            </w:r>
          </w:p>
        </w:tc>
      </w:tr>
      <w:tr w:rsidR="008F128A" w14:paraId="4C46C932" w14:textId="77777777">
        <w:trPr>
          <w:cantSplit/>
        </w:trPr>
        <w:tc>
          <w:tcPr>
            <w:tcW w:w="17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01358CF" w14:textId="77777777" w:rsidR="008F128A" w:rsidRDefault="00000000">
            <w:pPr>
              <w:spacing w:line="250" w:lineRule="auto"/>
            </w:pPr>
            <w:r>
              <w:rPr>
                <w:rFonts w:ascii="Calibri" w:eastAsia="Calibri" w:hAnsi="Calibri" w:cs="Calibri"/>
                <w:sz w:val="17"/>
                <w:szCs w:val="17"/>
              </w:rPr>
              <w:t>1. Actifs culturels</w:t>
            </w:r>
          </w:p>
        </w:tc>
        <w:tc>
          <w:tcPr>
            <w:tcW w:w="28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142AB6F" w14:textId="77777777" w:rsidR="008F128A" w:rsidRDefault="00000000">
            <w:pPr>
              <w:spacing w:line="250" w:lineRule="auto"/>
            </w:pPr>
            <w:r>
              <w:rPr>
                <w:rFonts w:ascii="Calibri" w:eastAsia="Calibri" w:hAnsi="Calibri" w:cs="Calibri"/>
                <w:sz w:val="17"/>
                <w:szCs w:val="17"/>
              </w:rPr>
              <w:t>Masques et papier mâché, satire, maisons du café, prison coloniale, jacmélitude, fonds documentaire privé</w:t>
            </w:r>
          </w:p>
        </w:tc>
        <w:tc>
          <w:tcPr>
            <w:tcW w:w="27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5B77792" w14:textId="77777777" w:rsidR="008F128A" w:rsidRDefault="00000000">
            <w:pPr>
              <w:spacing w:line="250" w:lineRule="auto"/>
            </w:pPr>
            <w:r>
              <w:rPr>
                <w:rFonts w:ascii="Calibri" w:eastAsia="Calibri" w:hAnsi="Calibri" w:cs="Calibri"/>
                <w:sz w:val="17"/>
                <w:szCs w:val="17"/>
              </w:rPr>
              <w:t>Actifs non inventoriés ; risque de caricature</w:t>
            </w:r>
          </w:p>
        </w:tc>
        <w:tc>
          <w:tcPr>
            <w:tcW w:w="22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A731705" w14:textId="77777777" w:rsidR="008F128A" w:rsidRDefault="00000000">
            <w:pPr>
              <w:spacing w:line="250" w:lineRule="auto"/>
            </w:pPr>
            <w:r>
              <w:rPr>
                <w:rFonts w:ascii="Calibri" w:eastAsia="Calibri" w:hAnsi="Calibri" w:cs="Calibri"/>
                <w:sz w:val="17"/>
                <w:szCs w:val="17"/>
              </w:rPr>
              <w:t>Rocourt (A) ; Gilles (A) ; Compère (A) ; Jason (T)</w:t>
            </w:r>
          </w:p>
        </w:tc>
      </w:tr>
      <w:tr w:rsidR="008F128A" w14:paraId="01383ECE" w14:textId="77777777">
        <w:trPr>
          <w:cantSplit/>
        </w:trPr>
        <w:tc>
          <w:tcPr>
            <w:tcW w:w="17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2A16DB6" w14:textId="77777777" w:rsidR="008F128A" w:rsidRDefault="00000000">
            <w:pPr>
              <w:spacing w:line="250" w:lineRule="auto"/>
            </w:pPr>
            <w:r>
              <w:rPr>
                <w:rFonts w:ascii="Calibri" w:eastAsia="Calibri" w:hAnsi="Calibri" w:cs="Calibri"/>
                <w:sz w:val="17"/>
                <w:szCs w:val="17"/>
              </w:rPr>
              <w:t>2. Production</w:t>
            </w:r>
          </w:p>
        </w:tc>
        <w:tc>
          <w:tcPr>
            <w:tcW w:w="28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5FAC433" w14:textId="77777777" w:rsidR="008F128A" w:rsidRDefault="00000000">
            <w:pPr>
              <w:spacing w:line="250" w:lineRule="auto"/>
            </w:pPr>
            <w:r>
              <w:rPr>
                <w:rFonts w:ascii="Calibri" w:eastAsia="Calibri" w:hAnsi="Calibri" w:cs="Calibri"/>
                <w:sz w:val="17"/>
                <w:szCs w:val="17"/>
              </w:rPr>
              <w:t>Ateliers et écoles d'artisans du masque</w:t>
            </w:r>
          </w:p>
        </w:tc>
        <w:tc>
          <w:tcPr>
            <w:tcW w:w="27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0458D47" w14:textId="77777777" w:rsidR="008F128A" w:rsidRDefault="00000000">
            <w:pPr>
              <w:spacing w:line="250" w:lineRule="auto"/>
            </w:pPr>
            <w:r>
              <w:rPr>
                <w:rFonts w:ascii="Calibri" w:eastAsia="Calibri" w:hAnsi="Calibri" w:cs="Calibri"/>
                <w:sz w:val="17"/>
                <w:szCs w:val="17"/>
              </w:rPr>
              <w:t>Saisonnalité extrême ; absence de contrats, de protection et de documentation des œuvres</w:t>
            </w:r>
          </w:p>
        </w:tc>
        <w:tc>
          <w:tcPr>
            <w:tcW w:w="22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749B1D7" w14:textId="77777777" w:rsidR="008F128A" w:rsidRDefault="00000000">
            <w:pPr>
              <w:spacing w:line="250" w:lineRule="auto"/>
            </w:pPr>
            <w:r>
              <w:rPr>
                <w:rFonts w:ascii="Calibri" w:eastAsia="Calibri" w:hAnsi="Calibri" w:cs="Calibri"/>
                <w:sz w:val="17"/>
                <w:szCs w:val="17"/>
              </w:rPr>
              <w:t>Jason (V, T) ; Domond (A)</w:t>
            </w:r>
          </w:p>
        </w:tc>
      </w:tr>
      <w:tr w:rsidR="008F128A" w14:paraId="7378BD86" w14:textId="77777777">
        <w:trPr>
          <w:cantSplit/>
        </w:trPr>
        <w:tc>
          <w:tcPr>
            <w:tcW w:w="17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5CE1311" w14:textId="77777777" w:rsidR="008F128A" w:rsidRDefault="00000000">
            <w:pPr>
              <w:spacing w:line="250" w:lineRule="auto"/>
            </w:pPr>
            <w:r>
              <w:rPr>
                <w:rFonts w:ascii="Calibri" w:eastAsia="Calibri" w:hAnsi="Calibri" w:cs="Calibri"/>
                <w:sz w:val="17"/>
                <w:szCs w:val="17"/>
              </w:rPr>
              <w:lastRenderedPageBreak/>
              <w:t>3. Produits et expériences</w:t>
            </w:r>
          </w:p>
        </w:tc>
        <w:tc>
          <w:tcPr>
            <w:tcW w:w="28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DBE4FCA" w14:textId="77777777" w:rsidR="008F128A" w:rsidRDefault="00000000">
            <w:pPr>
              <w:spacing w:line="250" w:lineRule="auto"/>
            </w:pPr>
            <w:r>
              <w:rPr>
                <w:rFonts w:ascii="Calibri" w:eastAsia="Calibri" w:hAnsi="Calibri" w:cs="Calibri"/>
                <w:sz w:val="17"/>
                <w:szCs w:val="17"/>
              </w:rPr>
              <w:t>Circuits patrimoniaux, ateliers payants, bals, places gastronomiques, reconstitutions, loges, passes, forfaits de trois nuits</w:t>
            </w:r>
          </w:p>
        </w:tc>
        <w:tc>
          <w:tcPr>
            <w:tcW w:w="27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907CACD" w14:textId="77777777" w:rsidR="008F128A" w:rsidRDefault="00000000">
            <w:pPr>
              <w:spacing w:line="250" w:lineRule="auto"/>
            </w:pPr>
            <w:r>
              <w:rPr>
                <w:rFonts w:ascii="Calibri" w:eastAsia="Calibri" w:hAnsi="Calibri" w:cs="Calibri"/>
                <w:sz w:val="17"/>
                <w:szCs w:val="17"/>
              </w:rPr>
              <w:t>Aucune offre constituée ; frontière entre gratuit et payant non définie</w:t>
            </w:r>
          </w:p>
        </w:tc>
        <w:tc>
          <w:tcPr>
            <w:tcW w:w="22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AFC132F" w14:textId="77777777" w:rsidR="008F128A" w:rsidRDefault="00000000">
            <w:pPr>
              <w:spacing w:line="250" w:lineRule="auto"/>
            </w:pPr>
            <w:r>
              <w:rPr>
                <w:rFonts w:ascii="Calibri" w:eastAsia="Calibri" w:hAnsi="Calibri" w:cs="Calibri"/>
                <w:sz w:val="17"/>
                <w:szCs w:val="17"/>
              </w:rPr>
              <w:t>Rocourt (A) ; Domond (A) ; Jason (V, T)</w:t>
            </w:r>
          </w:p>
        </w:tc>
      </w:tr>
      <w:tr w:rsidR="008F128A" w14:paraId="1E90D07E" w14:textId="77777777">
        <w:trPr>
          <w:cantSplit/>
        </w:trPr>
        <w:tc>
          <w:tcPr>
            <w:tcW w:w="17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A0BBA82" w14:textId="77777777" w:rsidR="008F128A" w:rsidRDefault="00000000">
            <w:pPr>
              <w:spacing w:line="250" w:lineRule="auto"/>
            </w:pPr>
            <w:r>
              <w:rPr>
                <w:rFonts w:ascii="Calibri" w:eastAsia="Calibri" w:hAnsi="Calibri" w:cs="Calibri"/>
                <w:sz w:val="17"/>
                <w:szCs w:val="17"/>
              </w:rPr>
              <w:t>4. Infrastructure de marché</w:t>
            </w:r>
          </w:p>
        </w:tc>
        <w:tc>
          <w:tcPr>
            <w:tcW w:w="28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EFEFE98" w14:textId="77777777" w:rsidR="008F128A" w:rsidRDefault="00000000">
            <w:pPr>
              <w:spacing w:line="250" w:lineRule="auto"/>
            </w:pPr>
            <w:r>
              <w:rPr>
                <w:rFonts w:ascii="Calibri" w:eastAsia="Calibri" w:hAnsi="Calibri" w:cs="Calibri"/>
                <w:sz w:val="17"/>
                <w:szCs w:val="17"/>
              </w:rPr>
              <w:t>Parcours, espaces commerciaux, sécurité, énergie, assainissement</w:t>
            </w:r>
          </w:p>
        </w:tc>
        <w:tc>
          <w:tcPr>
            <w:tcW w:w="27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0779E051" w14:textId="77777777" w:rsidR="008F128A" w:rsidRDefault="00000000">
            <w:pPr>
              <w:spacing w:line="250" w:lineRule="auto"/>
            </w:pPr>
            <w:r>
              <w:rPr>
                <w:rFonts w:ascii="Calibri" w:eastAsia="Calibri" w:hAnsi="Calibri" w:cs="Calibri"/>
                <w:sz w:val="17"/>
                <w:szCs w:val="17"/>
              </w:rPr>
              <w:t>Parcours dégradé depuis sept ans ; attribution des espaces sans règles publiques</w:t>
            </w:r>
          </w:p>
        </w:tc>
        <w:tc>
          <w:tcPr>
            <w:tcW w:w="22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99F47C2" w14:textId="77777777" w:rsidR="008F128A" w:rsidRDefault="00000000">
            <w:pPr>
              <w:spacing w:line="250" w:lineRule="auto"/>
            </w:pPr>
            <w:r>
              <w:rPr>
                <w:rFonts w:ascii="Calibri" w:eastAsia="Calibri" w:hAnsi="Calibri" w:cs="Calibri"/>
                <w:sz w:val="17"/>
                <w:szCs w:val="17"/>
              </w:rPr>
              <w:t>Jason (V, T)</w:t>
            </w:r>
          </w:p>
        </w:tc>
      </w:tr>
      <w:tr w:rsidR="008F128A" w14:paraId="203AF78F" w14:textId="77777777">
        <w:trPr>
          <w:cantSplit/>
        </w:trPr>
        <w:tc>
          <w:tcPr>
            <w:tcW w:w="17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49B44A5" w14:textId="77777777" w:rsidR="008F128A" w:rsidRDefault="00000000">
            <w:pPr>
              <w:spacing w:line="250" w:lineRule="auto"/>
            </w:pPr>
            <w:r>
              <w:rPr>
                <w:rFonts w:ascii="Calibri" w:eastAsia="Calibri" w:hAnsi="Calibri" w:cs="Calibri"/>
                <w:sz w:val="17"/>
                <w:szCs w:val="17"/>
              </w:rPr>
              <w:t>5. Visiteurs et demande</w:t>
            </w:r>
          </w:p>
        </w:tc>
        <w:tc>
          <w:tcPr>
            <w:tcW w:w="28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3A543BC" w14:textId="77777777" w:rsidR="008F128A" w:rsidRDefault="00000000">
            <w:pPr>
              <w:spacing w:line="250" w:lineRule="auto"/>
            </w:pPr>
            <w:r>
              <w:rPr>
                <w:rFonts w:ascii="Calibri" w:eastAsia="Calibri" w:hAnsi="Calibri" w:cs="Calibri"/>
                <w:sz w:val="17"/>
                <w:szCs w:val="17"/>
              </w:rPr>
              <w:t>Résidents, autres communes, diaspora, étrangers</w:t>
            </w:r>
          </w:p>
        </w:tc>
        <w:tc>
          <w:tcPr>
            <w:tcW w:w="27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6245C50" w14:textId="77777777" w:rsidR="008F128A" w:rsidRDefault="00000000">
            <w:pPr>
              <w:spacing w:line="250" w:lineRule="auto"/>
            </w:pPr>
            <w:r>
              <w:rPr>
                <w:rFonts w:ascii="Calibri" w:eastAsia="Calibri" w:hAnsi="Calibri" w:cs="Calibri"/>
                <w:sz w:val="17"/>
                <w:szCs w:val="17"/>
              </w:rPr>
              <w:t>Dépense variable selon la provenance ; capacité d'hébergement inconnue</w:t>
            </w:r>
          </w:p>
        </w:tc>
        <w:tc>
          <w:tcPr>
            <w:tcW w:w="22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BF63AD0" w14:textId="77777777" w:rsidR="008F128A" w:rsidRDefault="00000000">
            <w:pPr>
              <w:spacing w:line="250" w:lineRule="auto"/>
            </w:pPr>
            <w:r>
              <w:rPr>
                <w:rFonts w:ascii="Calibri" w:eastAsia="Calibri" w:hAnsi="Calibri" w:cs="Calibri"/>
                <w:sz w:val="17"/>
                <w:szCs w:val="17"/>
              </w:rPr>
              <w:t>Dessources (V)</w:t>
            </w:r>
          </w:p>
        </w:tc>
      </w:tr>
      <w:tr w:rsidR="008F128A" w14:paraId="767D301F" w14:textId="77777777">
        <w:trPr>
          <w:cantSplit/>
        </w:trPr>
        <w:tc>
          <w:tcPr>
            <w:tcW w:w="17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137F30E" w14:textId="77777777" w:rsidR="008F128A" w:rsidRDefault="00000000">
            <w:pPr>
              <w:spacing w:line="250" w:lineRule="auto"/>
            </w:pPr>
            <w:r>
              <w:rPr>
                <w:rFonts w:ascii="Calibri" w:eastAsia="Calibri" w:hAnsi="Calibri" w:cs="Calibri"/>
                <w:sz w:val="17"/>
                <w:szCs w:val="17"/>
              </w:rPr>
              <w:t>6. Transactions</w:t>
            </w:r>
          </w:p>
        </w:tc>
        <w:tc>
          <w:tcPr>
            <w:tcW w:w="28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A742C37" w14:textId="77777777" w:rsidR="008F128A" w:rsidRDefault="00000000">
            <w:pPr>
              <w:spacing w:line="250" w:lineRule="auto"/>
            </w:pPr>
            <w:r>
              <w:rPr>
                <w:rFonts w:ascii="Calibri" w:eastAsia="Calibri" w:hAnsi="Calibri" w:cs="Calibri"/>
                <w:sz w:val="17"/>
                <w:szCs w:val="17"/>
              </w:rPr>
              <w:t>Paiements dispersés, largement informels</w:t>
            </w:r>
          </w:p>
        </w:tc>
        <w:tc>
          <w:tcPr>
            <w:tcW w:w="27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45D10270" w14:textId="77777777" w:rsidR="008F128A" w:rsidRDefault="00000000">
            <w:pPr>
              <w:spacing w:line="250" w:lineRule="auto"/>
            </w:pPr>
            <w:r>
              <w:rPr>
                <w:rFonts w:ascii="Calibri" w:eastAsia="Calibri" w:hAnsi="Calibri" w:cs="Calibri"/>
                <w:sz w:val="17"/>
                <w:szCs w:val="17"/>
              </w:rPr>
              <w:t>Aucune trace des échanges</w:t>
            </w:r>
          </w:p>
        </w:tc>
        <w:tc>
          <w:tcPr>
            <w:tcW w:w="22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E574EF6" w14:textId="77777777" w:rsidR="008F128A" w:rsidRDefault="00000000">
            <w:pPr>
              <w:spacing w:line="250" w:lineRule="auto"/>
            </w:pPr>
            <w:r>
              <w:rPr>
                <w:rFonts w:ascii="Calibri" w:eastAsia="Calibri" w:hAnsi="Calibri" w:cs="Calibri"/>
                <w:sz w:val="17"/>
                <w:szCs w:val="17"/>
              </w:rPr>
              <w:t>Siguineau (A) ; Jason (T)</w:t>
            </w:r>
          </w:p>
        </w:tc>
      </w:tr>
      <w:tr w:rsidR="008F128A" w14:paraId="27ED0D0C" w14:textId="77777777">
        <w:trPr>
          <w:cantSplit/>
        </w:trPr>
        <w:tc>
          <w:tcPr>
            <w:tcW w:w="17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BABFFBC" w14:textId="77777777" w:rsidR="008F128A" w:rsidRDefault="00000000">
            <w:pPr>
              <w:spacing w:line="250" w:lineRule="auto"/>
            </w:pPr>
            <w:r>
              <w:rPr>
                <w:rFonts w:ascii="Calibri" w:eastAsia="Calibri" w:hAnsi="Calibri" w:cs="Calibri"/>
                <w:sz w:val="17"/>
                <w:szCs w:val="17"/>
              </w:rPr>
              <w:t>7. Valeur locale</w:t>
            </w:r>
          </w:p>
        </w:tc>
        <w:tc>
          <w:tcPr>
            <w:tcW w:w="28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07EAD7B" w14:textId="77777777" w:rsidR="008F128A" w:rsidRDefault="00000000">
            <w:pPr>
              <w:spacing w:line="250" w:lineRule="auto"/>
            </w:pPr>
            <w:r>
              <w:rPr>
                <w:rFonts w:ascii="Calibri" w:eastAsia="Calibri" w:hAnsi="Calibri" w:cs="Calibri"/>
                <w:sz w:val="17"/>
                <w:szCs w:val="17"/>
              </w:rPr>
              <w:t>Non décrite</w:t>
            </w:r>
          </w:p>
        </w:tc>
        <w:tc>
          <w:tcPr>
            <w:tcW w:w="27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6D22DE3" w14:textId="77777777" w:rsidR="008F128A" w:rsidRDefault="00000000">
            <w:pPr>
              <w:spacing w:line="250" w:lineRule="auto"/>
            </w:pPr>
            <w:r>
              <w:rPr>
                <w:rFonts w:ascii="Calibri" w:eastAsia="Calibri" w:hAnsi="Calibri" w:cs="Calibri"/>
                <w:sz w:val="17"/>
                <w:szCs w:val="17"/>
              </w:rPr>
              <w:t>Part retenue inconnue</w:t>
            </w:r>
          </w:p>
        </w:tc>
        <w:tc>
          <w:tcPr>
            <w:tcW w:w="22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8372E03" w14:textId="77777777" w:rsidR="008F128A" w:rsidRDefault="00000000">
            <w:pPr>
              <w:spacing w:line="250" w:lineRule="auto"/>
            </w:pPr>
            <w:r>
              <w:rPr>
                <w:rFonts w:ascii="Calibri" w:eastAsia="Calibri" w:hAnsi="Calibri" w:cs="Calibri"/>
                <w:sz w:val="17"/>
                <w:szCs w:val="17"/>
              </w:rPr>
              <w:t>Siguineau (A) ; Dessources (A)</w:t>
            </w:r>
          </w:p>
        </w:tc>
      </w:tr>
    </w:tbl>
    <w:p w14:paraId="4C1A44AC" w14:textId="77777777" w:rsidR="008F128A" w:rsidRDefault="00000000">
      <w:pPr>
        <w:pStyle w:val="Source"/>
      </w:pPr>
      <w:r>
        <w:t>Source : idem tableau 3.</w:t>
      </w:r>
    </w:p>
    <w:p w14:paraId="26C966FB" w14:textId="77777777" w:rsidR="008F128A" w:rsidRDefault="00000000">
      <w:pPr>
        <w:pStyle w:val="Heading2"/>
      </w:pPr>
      <w:bookmarkStart w:id="19" w:name="_Toc241614680"/>
      <w:r>
        <w:t>4.3 Garde-fous</w:t>
      </w:r>
      <w:bookmarkEnd w:id="19"/>
    </w:p>
    <w:p w14:paraId="178085A0" w14:textId="77777777" w:rsidR="008F128A" w:rsidRDefault="00000000">
      <w:pPr>
        <w:pStyle w:val="Corpsdetexte"/>
      </w:pPr>
      <w:r>
        <w:t>Les intervenants de la session 03 ont formulé plusieurs limites à la mise en marché (tableau 5). Assurant la modération, Charles Kesner Jean Yves (A) a montré que la proposition d'offre avancée par Wendy Domond, loin de contredire les réserves de Monique Rocourt, venait s'y adjoindre.</w:t>
      </w:r>
    </w:p>
    <w:p w14:paraId="389307D1" w14:textId="77777777" w:rsidR="008F128A" w:rsidRDefault="00000000">
      <w:pPr>
        <w:pStyle w:val="Lgende"/>
        <w:keepNext/>
      </w:pPr>
      <w:r>
        <w:t>Tableau 5. Garde-fous formulés</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3"/>
        <w:gridCol w:w="4506"/>
        <w:gridCol w:w="2303"/>
      </w:tblGrid>
      <w:tr w:rsidR="008F128A" w14:paraId="344D9AD0" w14:textId="77777777">
        <w:trPr>
          <w:cantSplit/>
          <w:tblHeader/>
        </w:trPr>
        <w:tc>
          <w:tcPr>
            <w:tcW w:w="26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7B9FBBB5" w14:textId="77777777" w:rsidR="008F128A" w:rsidRDefault="00000000">
            <w:pPr>
              <w:spacing w:line="250" w:lineRule="auto"/>
            </w:pPr>
            <w:r>
              <w:rPr>
                <w:rFonts w:ascii="Calibri" w:eastAsia="Calibri" w:hAnsi="Calibri" w:cs="Calibri"/>
                <w:b/>
                <w:bCs/>
                <w:color w:val="FFFFFF"/>
                <w:sz w:val="17"/>
                <w:szCs w:val="17"/>
              </w:rPr>
              <w:t>Garde-fou</w:t>
            </w:r>
          </w:p>
        </w:tc>
        <w:tc>
          <w:tcPr>
            <w:tcW w:w="4506"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39F10657" w14:textId="77777777" w:rsidR="008F128A" w:rsidRDefault="00000000">
            <w:pPr>
              <w:spacing w:line="250" w:lineRule="auto"/>
            </w:pPr>
            <w:r>
              <w:rPr>
                <w:rFonts w:ascii="Calibri" w:eastAsia="Calibri" w:hAnsi="Calibri" w:cs="Calibri"/>
                <w:b/>
                <w:bCs/>
                <w:color w:val="FFFFFF"/>
                <w:sz w:val="17"/>
                <w:szCs w:val="17"/>
              </w:rPr>
              <w:t>Contenu</w:t>
            </w:r>
          </w:p>
        </w:tc>
        <w:tc>
          <w:tcPr>
            <w:tcW w:w="23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6E8D0D8C" w14:textId="77777777" w:rsidR="008F128A" w:rsidRDefault="00000000">
            <w:pPr>
              <w:spacing w:line="250" w:lineRule="auto"/>
            </w:pPr>
            <w:r>
              <w:rPr>
                <w:rFonts w:ascii="Calibri" w:eastAsia="Calibri" w:hAnsi="Calibri" w:cs="Calibri"/>
                <w:b/>
                <w:bCs/>
                <w:color w:val="FFFFFF"/>
                <w:sz w:val="17"/>
                <w:szCs w:val="17"/>
              </w:rPr>
              <w:t>Source (niveau)</w:t>
            </w:r>
          </w:p>
        </w:tc>
      </w:tr>
      <w:tr w:rsidR="008F128A" w14:paraId="677B3C68" w14:textId="77777777">
        <w:trPr>
          <w:cantSplit/>
        </w:trPr>
        <w:tc>
          <w:tcPr>
            <w:tcW w:w="26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038E712" w14:textId="77777777" w:rsidR="008F128A" w:rsidRDefault="00000000">
            <w:pPr>
              <w:spacing w:line="250" w:lineRule="auto"/>
            </w:pPr>
            <w:r>
              <w:rPr>
                <w:rFonts w:ascii="Calibri" w:eastAsia="Calibri" w:hAnsi="Calibri" w:cs="Calibri"/>
                <w:sz w:val="17"/>
                <w:szCs w:val="17"/>
              </w:rPr>
              <w:t>Le sacré n'est pas un spectacle</w:t>
            </w:r>
          </w:p>
        </w:tc>
        <w:tc>
          <w:tcPr>
            <w:tcW w:w="4506"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2055848" w14:textId="77777777" w:rsidR="008F128A" w:rsidRDefault="00000000">
            <w:pPr>
              <w:spacing w:line="250" w:lineRule="auto"/>
            </w:pPr>
            <w:r>
              <w:rPr>
                <w:rFonts w:ascii="Calibri" w:eastAsia="Calibri" w:hAnsi="Calibri" w:cs="Calibri"/>
                <w:sz w:val="17"/>
                <w:szCs w:val="17"/>
              </w:rPr>
              <w:t>Ni cérémonie vodou mise en scène, ni imitation d'objets rituels vidés de leur fonction</w:t>
            </w:r>
          </w:p>
        </w:tc>
        <w:tc>
          <w:tcPr>
            <w:tcW w:w="23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218AB94" w14:textId="77777777" w:rsidR="008F128A" w:rsidRDefault="00000000">
            <w:pPr>
              <w:spacing w:line="250" w:lineRule="auto"/>
            </w:pPr>
            <w:r>
              <w:rPr>
                <w:rFonts w:ascii="Calibri" w:eastAsia="Calibri" w:hAnsi="Calibri" w:cs="Calibri"/>
                <w:sz w:val="17"/>
                <w:szCs w:val="17"/>
              </w:rPr>
              <w:t>Rocourt (A)</w:t>
            </w:r>
          </w:p>
        </w:tc>
      </w:tr>
      <w:tr w:rsidR="008F128A" w14:paraId="5A1C009E" w14:textId="77777777">
        <w:trPr>
          <w:cantSplit/>
        </w:trPr>
        <w:tc>
          <w:tcPr>
            <w:tcW w:w="26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DC95458" w14:textId="77777777" w:rsidR="008F128A" w:rsidRDefault="00000000">
            <w:pPr>
              <w:spacing w:line="250" w:lineRule="auto"/>
            </w:pPr>
            <w:r>
              <w:rPr>
                <w:rFonts w:ascii="Calibri" w:eastAsia="Calibri" w:hAnsi="Calibri" w:cs="Calibri"/>
                <w:sz w:val="17"/>
                <w:szCs w:val="17"/>
              </w:rPr>
              <w:t>Le masque demeure central</w:t>
            </w:r>
          </w:p>
        </w:tc>
        <w:tc>
          <w:tcPr>
            <w:tcW w:w="4506"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FB5A9C2" w14:textId="77777777" w:rsidR="008F128A" w:rsidRDefault="00000000">
            <w:pPr>
              <w:spacing w:line="250" w:lineRule="auto"/>
            </w:pPr>
            <w:r>
              <w:rPr>
                <w:rFonts w:ascii="Calibri" w:eastAsia="Calibri" w:hAnsi="Calibri" w:cs="Calibri"/>
                <w:sz w:val="17"/>
                <w:szCs w:val="17"/>
              </w:rPr>
              <w:t>Le masque ne doit pas être banalisé</w:t>
            </w:r>
          </w:p>
        </w:tc>
        <w:tc>
          <w:tcPr>
            <w:tcW w:w="23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73E3FA1" w14:textId="77777777" w:rsidR="008F128A" w:rsidRDefault="00000000">
            <w:pPr>
              <w:spacing w:line="250" w:lineRule="auto"/>
            </w:pPr>
            <w:r>
              <w:rPr>
                <w:rFonts w:ascii="Calibri" w:eastAsia="Calibri" w:hAnsi="Calibri" w:cs="Calibri"/>
                <w:sz w:val="17"/>
                <w:szCs w:val="17"/>
              </w:rPr>
              <w:t>Rocourt (A)</w:t>
            </w:r>
          </w:p>
        </w:tc>
      </w:tr>
      <w:tr w:rsidR="008F128A" w14:paraId="4D8D0B13" w14:textId="77777777">
        <w:trPr>
          <w:cantSplit/>
        </w:trPr>
        <w:tc>
          <w:tcPr>
            <w:tcW w:w="26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F509445" w14:textId="77777777" w:rsidR="008F128A" w:rsidRDefault="00000000">
            <w:pPr>
              <w:spacing w:line="250" w:lineRule="auto"/>
            </w:pPr>
            <w:r>
              <w:rPr>
                <w:rFonts w:ascii="Calibri" w:eastAsia="Calibri" w:hAnsi="Calibri" w:cs="Calibri"/>
                <w:sz w:val="17"/>
                <w:szCs w:val="17"/>
              </w:rPr>
              <w:t>Le bâti ne s'use pas pour la fête</w:t>
            </w:r>
          </w:p>
        </w:tc>
        <w:tc>
          <w:tcPr>
            <w:tcW w:w="4506"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1552A54" w14:textId="77777777" w:rsidR="008F128A" w:rsidRDefault="00000000">
            <w:pPr>
              <w:spacing w:line="250" w:lineRule="auto"/>
            </w:pPr>
            <w:r>
              <w:rPr>
                <w:rFonts w:ascii="Calibri" w:eastAsia="Calibri" w:hAnsi="Calibri" w:cs="Calibri"/>
                <w:sz w:val="17"/>
                <w:szCs w:val="17"/>
              </w:rPr>
              <w:t>Tout usage d'un bâtiment historique suppose une recherche préalable et une protection physique</w:t>
            </w:r>
          </w:p>
        </w:tc>
        <w:tc>
          <w:tcPr>
            <w:tcW w:w="23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B45BDBE" w14:textId="77777777" w:rsidR="008F128A" w:rsidRDefault="00000000">
            <w:pPr>
              <w:spacing w:line="250" w:lineRule="auto"/>
            </w:pPr>
            <w:r>
              <w:rPr>
                <w:rFonts w:ascii="Calibri" w:eastAsia="Calibri" w:hAnsi="Calibri" w:cs="Calibri"/>
                <w:sz w:val="17"/>
                <w:szCs w:val="17"/>
              </w:rPr>
              <w:t>Rocourt (A) ; Colas (A)</w:t>
            </w:r>
          </w:p>
        </w:tc>
      </w:tr>
      <w:tr w:rsidR="008F128A" w14:paraId="0D6EA11C" w14:textId="77777777">
        <w:trPr>
          <w:cantSplit/>
        </w:trPr>
        <w:tc>
          <w:tcPr>
            <w:tcW w:w="26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6EEA4B4" w14:textId="77777777" w:rsidR="008F128A" w:rsidRDefault="00000000">
            <w:pPr>
              <w:spacing w:line="250" w:lineRule="auto"/>
            </w:pPr>
            <w:r>
              <w:rPr>
                <w:rFonts w:ascii="Calibri" w:eastAsia="Calibri" w:hAnsi="Calibri" w:cs="Calibri"/>
                <w:sz w:val="17"/>
                <w:szCs w:val="17"/>
              </w:rPr>
              <w:t>Une part demeure gratuite</w:t>
            </w:r>
          </w:p>
        </w:tc>
        <w:tc>
          <w:tcPr>
            <w:tcW w:w="4506"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C316E32" w14:textId="77777777" w:rsidR="008F128A" w:rsidRDefault="00000000">
            <w:pPr>
              <w:spacing w:line="250" w:lineRule="auto"/>
            </w:pPr>
            <w:r>
              <w:rPr>
                <w:rFonts w:ascii="Calibri" w:eastAsia="Calibri" w:hAnsi="Calibri" w:cs="Calibri"/>
                <w:sz w:val="17"/>
                <w:szCs w:val="17"/>
              </w:rPr>
              <w:t>Les offres payantes ne privent pas la population de sa fête</w:t>
            </w:r>
          </w:p>
        </w:tc>
        <w:tc>
          <w:tcPr>
            <w:tcW w:w="23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0F5D6815" w14:textId="77777777" w:rsidR="008F128A" w:rsidRDefault="00000000">
            <w:pPr>
              <w:spacing w:line="250" w:lineRule="auto"/>
            </w:pPr>
            <w:r>
              <w:rPr>
                <w:rFonts w:ascii="Calibri" w:eastAsia="Calibri" w:hAnsi="Calibri" w:cs="Calibri"/>
                <w:sz w:val="17"/>
                <w:szCs w:val="17"/>
              </w:rPr>
              <w:t>Domond (A)</w:t>
            </w:r>
          </w:p>
        </w:tc>
      </w:tr>
      <w:tr w:rsidR="008F128A" w14:paraId="5357B2BD" w14:textId="77777777">
        <w:trPr>
          <w:cantSplit/>
        </w:trPr>
        <w:tc>
          <w:tcPr>
            <w:tcW w:w="26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8275A7A" w14:textId="77777777" w:rsidR="008F128A" w:rsidRDefault="00000000">
            <w:pPr>
              <w:spacing w:line="250" w:lineRule="auto"/>
            </w:pPr>
            <w:r>
              <w:rPr>
                <w:rFonts w:ascii="Calibri" w:eastAsia="Calibri" w:hAnsi="Calibri" w:cs="Calibri"/>
                <w:sz w:val="17"/>
                <w:szCs w:val="17"/>
              </w:rPr>
              <w:t>La satire demeure libre</w:t>
            </w:r>
          </w:p>
        </w:tc>
        <w:tc>
          <w:tcPr>
            <w:tcW w:w="4506"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8C6FA13" w14:textId="77777777" w:rsidR="008F128A" w:rsidRDefault="00000000">
            <w:pPr>
              <w:spacing w:line="250" w:lineRule="auto"/>
            </w:pPr>
            <w:r>
              <w:rPr>
                <w:rFonts w:ascii="Calibri" w:eastAsia="Calibri" w:hAnsi="Calibri" w:cs="Calibri"/>
                <w:sz w:val="17"/>
                <w:szCs w:val="17"/>
              </w:rPr>
              <w:t>La dérision du politique portée par le masque est préservée</w:t>
            </w:r>
          </w:p>
        </w:tc>
        <w:tc>
          <w:tcPr>
            <w:tcW w:w="23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4747921" w14:textId="77777777" w:rsidR="008F128A" w:rsidRDefault="00000000">
            <w:pPr>
              <w:spacing w:line="250" w:lineRule="auto"/>
            </w:pPr>
            <w:r>
              <w:rPr>
                <w:rFonts w:ascii="Calibri" w:eastAsia="Calibri" w:hAnsi="Calibri" w:cs="Calibri"/>
                <w:sz w:val="17"/>
                <w:szCs w:val="17"/>
              </w:rPr>
              <w:t>Domond (A, passage incertain)</w:t>
            </w:r>
          </w:p>
        </w:tc>
      </w:tr>
      <w:tr w:rsidR="008F128A" w14:paraId="7FEFDE67" w14:textId="77777777">
        <w:trPr>
          <w:cantSplit/>
        </w:trPr>
        <w:tc>
          <w:tcPr>
            <w:tcW w:w="26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670EF00" w14:textId="77777777" w:rsidR="008F128A" w:rsidRDefault="00000000">
            <w:pPr>
              <w:spacing w:line="250" w:lineRule="auto"/>
            </w:pPr>
            <w:r>
              <w:rPr>
                <w:rFonts w:ascii="Calibri" w:eastAsia="Calibri" w:hAnsi="Calibri" w:cs="Calibri"/>
                <w:sz w:val="17"/>
                <w:szCs w:val="17"/>
              </w:rPr>
              <w:t>Aucun récit misérabiliste</w:t>
            </w:r>
          </w:p>
        </w:tc>
        <w:tc>
          <w:tcPr>
            <w:tcW w:w="4506"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58DB3E3" w14:textId="77777777" w:rsidR="008F128A" w:rsidRDefault="00000000">
            <w:pPr>
              <w:spacing w:line="250" w:lineRule="auto"/>
            </w:pPr>
            <w:r>
              <w:rPr>
                <w:rFonts w:ascii="Calibri" w:eastAsia="Calibri" w:hAnsi="Calibri" w:cs="Calibri"/>
                <w:sz w:val="17"/>
                <w:szCs w:val="17"/>
              </w:rPr>
              <w:t>La destination ne se promeut pas par la pitié</w:t>
            </w:r>
          </w:p>
        </w:tc>
        <w:tc>
          <w:tcPr>
            <w:tcW w:w="23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83AB99E" w14:textId="77777777" w:rsidR="008F128A" w:rsidRDefault="00000000">
            <w:pPr>
              <w:spacing w:line="250" w:lineRule="auto"/>
            </w:pPr>
            <w:r>
              <w:rPr>
                <w:rFonts w:ascii="Calibri" w:eastAsia="Calibri" w:hAnsi="Calibri" w:cs="Calibri"/>
                <w:sz w:val="17"/>
                <w:szCs w:val="17"/>
              </w:rPr>
              <w:t>Domond (A)</w:t>
            </w:r>
          </w:p>
        </w:tc>
      </w:tr>
      <w:tr w:rsidR="008F128A" w14:paraId="25FBE1DB" w14:textId="77777777">
        <w:trPr>
          <w:cantSplit/>
        </w:trPr>
        <w:tc>
          <w:tcPr>
            <w:tcW w:w="26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03406F0" w14:textId="77777777" w:rsidR="008F128A" w:rsidRDefault="00000000">
            <w:pPr>
              <w:spacing w:line="250" w:lineRule="auto"/>
            </w:pPr>
            <w:r>
              <w:rPr>
                <w:rFonts w:ascii="Calibri" w:eastAsia="Calibri" w:hAnsi="Calibri" w:cs="Calibri"/>
                <w:sz w:val="17"/>
                <w:szCs w:val="17"/>
              </w:rPr>
              <w:t>Les créateurs sont protégés</w:t>
            </w:r>
          </w:p>
        </w:tc>
        <w:tc>
          <w:tcPr>
            <w:tcW w:w="4506"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6FADFDB" w14:textId="77777777" w:rsidR="008F128A" w:rsidRDefault="00000000">
            <w:pPr>
              <w:spacing w:line="250" w:lineRule="auto"/>
            </w:pPr>
            <w:r>
              <w:rPr>
                <w:rFonts w:ascii="Calibri" w:eastAsia="Calibri" w:hAnsi="Calibri" w:cs="Calibri"/>
                <w:sz w:val="17"/>
                <w:szCs w:val="17"/>
              </w:rPr>
              <w:t>Œuvres, auteurs et droits économiques sont documentés</w:t>
            </w:r>
          </w:p>
        </w:tc>
        <w:tc>
          <w:tcPr>
            <w:tcW w:w="23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16AB703" w14:textId="77777777" w:rsidR="008F128A" w:rsidRDefault="00000000">
            <w:pPr>
              <w:spacing w:line="250" w:lineRule="auto"/>
            </w:pPr>
            <w:r>
              <w:rPr>
                <w:rFonts w:ascii="Calibri" w:eastAsia="Calibri" w:hAnsi="Calibri" w:cs="Calibri"/>
                <w:sz w:val="17"/>
                <w:szCs w:val="17"/>
              </w:rPr>
              <w:t>Jason (V, T) ; Domond (A)</w:t>
            </w:r>
          </w:p>
        </w:tc>
      </w:tr>
    </w:tbl>
    <w:p w14:paraId="4B145A76" w14:textId="77777777" w:rsidR="008F128A" w:rsidRDefault="00000000">
      <w:pPr>
        <w:pStyle w:val="Source"/>
      </w:pPr>
      <w:r>
        <w:t>Source : session 03 de la CEW 2026 ; Jason (2026).</w:t>
      </w:r>
    </w:p>
    <w:p w14:paraId="66DF3AC7" w14:textId="77777777" w:rsidR="008F128A" w:rsidRDefault="00000000">
      <w:pPr>
        <w:pStyle w:val="Heading2"/>
      </w:pPr>
      <w:bookmarkStart w:id="20" w:name="_Toc241614681"/>
      <w:r>
        <w:t>4.4 Tensions non résolues</w:t>
      </w:r>
      <w:bookmarkEnd w:id="20"/>
    </w:p>
    <w:p w14:paraId="1CDEE34D" w14:textId="77777777" w:rsidR="008F128A" w:rsidRDefault="00000000">
      <w:pPr>
        <w:pStyle w:val="Corpsdetexte"/>
      </w:pPr>
      <w:r>
        <w:t>Cinq désaccords ou incertitudes traversent le corpus.</w:t>
      </w:r>
    </w:p>
    <w:p w14:paraId="2DC2AFE1" w14:textId="77777777" w:rsidR="008F128A" w:rsidRDefault="00000000">
      <w:pPr>
        <w:pStyle w:val="Corpsdetexte"/>
        <w:numPr>
          <w:ilvl w:val="0"/>
          <w:numId w:val="2"/>
        </w:numPr>
      </w:pPr>
      <w:r>
        <w:rPr>
          <w:b/>
          <w:bCs/>
        </w:rPr>
        <w:t>Pilotage.</w:t>
      </w:r>
      <w:r>
        <w:t xml:space="preserve"> Jason (V) et Rocourt (A) placent la commune au centre du dispositif ; Dessources (V) exige une structure au sein de laquelle chaque ministère siège « avèk yon sèten nivo angajman » (avec un certain niveau d'engagement), et non par simple représentation départementale.</w:t>
      </w:r>
    </w:p>
    <w:p w14:paraId="20E21957" w14:textId="77777777" w:rsidR="008F128A" w:rsidRDefault="00000000">
      <w:pPr>
        <w:pStyle w:val="Corpsdetexte"/>
        <w:numPr>
          <w:ilvl w:val="0"/>
          <w:numId w:val="2"/>
        </w:numPr>
      </w:pPr>
      <w:r>
        <w:rPr>
          <w:b/>
          <w:bCs/>
        </w:rPr>
        <w:t>Unité ou singularité.</w:t>
      </w:r>
      <w:r>
        <w:t xml:space="preserve"> Dessources (V) plaide pour une cohérence entre carnaval national et carnaval de Jacmel ; Colas (A) et Jason (T) défendent la singularité de chaque ville.</w:t>
      </w:r>
    </w:p>
    <w:p w14:paraId="1CF2E6D7" w14:textId="77777777" w:rsidR="008F128A" w:rsidRDefault="00000000">
      <w:pPr>
        <w:pStyle w:val="Corpsdetexte"/>
        <w:numPr>
          <w:ilvl w:val="0"/>
          <w:numId w:val="2"/>
        </w:numPr>
      </w:pPr>
      <w:r>
        <w:rPr>
          <w:b/>
          <w:bCs/>
        </w:rPr>
        <w:t>Frontière du payant.</w:t>
      </w:r>
      <w:r>
        <w:t xml:space="preserve"> Loges, passes et forfaits d'une part, fête populaire et gratuite d'autre part : aucun intervenant n'a tracé la limite.</w:t>
      </w:r>
    </w:p>
    <w:p w14:paraId="2D8E7D7B" w14:textId="77777777" w:rsidR="008F128A" w:rsidRDefault="00000000">
      <w:pPr>
        <w:pStyle w:val="Corpsdetexte"/>
        <w:numPr>
          <w:ilvl w:val="0"/>
          <w:numId w:val="2"/>
        </w:numPr>
      </w:pPr>
      <w:r>
        <w:rPr>
          <w:b/>
          <w:bCs/>
        </w:rPr>
        <w:lastRenderedPageBreak/>
        <w:t>Jacmélodrome.</w:t>
      </w:r>
      <w:r>
        <w:t xml:space="preserve"> Le projet d'un espace dédié, discuté entre 2010 et 2015 selon Gilles (A), résoudrait la question du parcours, mais risquerait de priver le défilé de son cadre historique.</w:t>
      </w:r>
    </w:p>
    <w:p w14:paraId="4E709413" w14:textId="77777777" w:rsidR="008F128A" w:rsidRDefault="00000000">
      <w:pPr>
        <w:pStyle w:val="Corpsdetexte"/>
        <w:numPr>
          <w:ilvl w:val="0"/>
          <w:numId w:val="2"/>
        </w:numPr>
      </w:pPr>
      <w:r>
        <w:rPr>
          <w:b/>
          <w:bCs/>
        </w:rPr>
        <w:t>Périmètre.</w:t>
      </w:r>
      <w:r>
        <w:t xml:space="preserve"> Jason (2026) adresse ses orientations à Port-au-Prince comme à Jacmel ; la présente étude ne porte que sur Jacmel.</w:t>
      </w:r>
    </w:p>
    <w:p w14:paraId="4FED862D" w14:textId="77777777" w:rsidR="008F128A" w:rsidRDefault="00000000">
      <w:pPr>
        <w:pStyle w:val="Heading1"/>
      </w:pPr>
      <w:bookmarkStart w:id="21" w:name="_Toc241614682"/>
      <w:r>
        <w:t>5. Discussion</w:t>
      </w:r>
      <w:bookmarkEnd w:id="21"/>
    </w:p>
    <w:p w14:paraId="66414E0D" w14:textId="77777777" w:rsidR="008F128A" w:rsidRDefault="00000000">
      <w:pPr>
        <w:pStyle w:val="Heading2"/>
      </w:pPr>
      <w:bookmarkStart w:id="22" w:name="_Toc241614683"/>
      <w:r>
        <w:t>5.1 Une contrainte institutionnelle plutôt que culturelle</w:t>
      </w:r>
      <w:bookmarkEnd w:id="22"/>
    </w:p>
    <w:p w14:paraId="725C4387" w14:textId="77777777" w:rsidR="008F128A" w:rsidRDefault="00000000">
      <w:pPr>
        <w:pStyle w:val="Corpsdetexte"/>
      </w:pPr>
      <w:r>
        <w:t>Les constats C1 à C3 portent sur des règles et des fonctions de soutien, non sur l'offre culturelle proprement dite. Il s'agit du cas de figure typique décrit par l'approche M4P : un marché potentiel existe, mais les fonctions qui le rendraient praticable font défaut (Springfield Centre, 2015). Savoir-faire et demande coexistent ainsi sans que l'échange advienne.</w:t>
      </w:r>
    </w:p>
    <w:p w14:paraId="58978714" w14:textId="77777777" w:rsidR="008F128A" w:rsidRDefault="00000000">
      <w:pPr>
        <w:pStyle w:val="Heading2"/>
      </w:pPr>
      <w:bookmarkStart w:id="23" w:name="_Toc241614684"/>
      <w:r>
        <w:t>5.2 Mesurer avant de promettre</w:t>
      </w:r>
      <w:bookmarkEnd w:id="23"/>
    </w:p>
    <w:p w14:paraId="4825FFD4" w14:textId="77777777" w:rsidR="008F128A" w:rsidRDefault="00000000">
      <w:pPr>
        <w:pStyle w:val="Corpsdetexte"/>
      </w:pPr>
      <w:r>
        <w:t>Les constats C4 et C5 reproduisent la distinction entre dépense et valeur retenue (Mitchell et Ashley, 2010). Faute de mesure, toute affirmation relative aux retombées du carnaval s'exposerait à la critique adressée aux études d'impact d'événements, lesquelles comptabilisent comme apport nouveau des dépenses qui auraient eu lieu en tout état de cause (Crompton, 2006). Tel est le fondement du parti retenu à la section 6 : faire de l'édition 2027 une année de référence plutôt qu'une année d'objectifs.</w:t>
      </w:r>
    </w:p>
    <w:p w14:paraId="74D441A1" w14:textId="77777777" w:rsidR="008F128A" w:rsidRDefault="00000000">
      <w:pPr>
        <w:pStyle w:val="Heading2"/>
      </w:pPr>
      <w:bookmarkStart w:id="24" w:name="_Toc241614685"/>
      <w:r>
        <w:t>5.3 Marchandiser sans dénaturer</w:t>
      </w:r>
      <w:bookmarkEnd w:id="24"/>
    </w:p>
    <w:p w14:paraId="0DE6A09F" w14:textId="77777777" w:rsidR="008F128A" w:rsidRDefault="00000000">
      <w:pPr>
        <w:pStyle w:val="Corpsdetexte"/>
      </w:pPr>
      <w:r>
        <w:t>La synthèse de la session 03 rejoint la position de Cohen (1988) : la mise en marché n'est pas destructrice en soi, ses effets tenant aux conditions dans lesquelles elle s'opère. Les garde-fous du tableau 5 en constituent une première formulation, qu'il reste à éprouver sur des offres effectives.</w:t>
      </w:r>
    </w:p>
    <w:p w14:paraId="63ACB339" w14:textId="77777777" w:rsidR="008F128A" w:rsidRDefault="00000000">
      <w:pPr>
        <w:pStyle w:val="Heading2"/>
      </w:pPr>
      <w:bookmarkStart w:id="25" w:name="_Toc241614686"/>
      <w:r>
        <w:t>5.4 Une dépendance peut-être récente</w:t>
      </w:r>
      <w:bookmarkEnd w:id="25"/>
    </w:p>
    <w:p w14:paraId="73648C23" w14:textId="77777777" w:rsidR="008F128A" w:rsidRDefault="00000000">
      <w:pPr>
        <w:pStyle w:val="Corpsdetexte"/>
      </w:pPr>
      <w:r>
        <w:t>Si l'autofinancement des années 1970-1980 évoqué par Gilles venait à être confirmé, la dépendance aux subventions centrales relèverait d'un état historique et non d'une fatalité. La stratégie s'en trouverait modifiée : il s'agirait de restaurer une capacité de financement locale plutôt que d'en créer une ex nihilo.</w:t>
      </w:r>
    </w:p>
    <w:p w14:paraId="73611346" w14:textId="77777777" w:rsidR="008F128A" w:rsidRDefault="00000000">
      <w:pPr>
        <w:pStyle w:val="Heading2"/>
      </w:pPr>
      <w:bookmarkStart w:id="26" w:name="_Toc241614687"/>
      <w:r>
        <w:t>5.5 Un diagnostic porté par des institutions sur les institutions</w:t>
      </w:r>
      <w:bookmarkEnd w:id="26"/>
    </w:p>
    <w:p w14:paraId="6E2D484E" w14:textId="77777777" w:rsidR="008F128A" w:rsidRDefault="00000000">
      <w:pPr>
        <w:pStyle w:val="Corpsdetexte"/>
      </w:pPr>
      <w:r>
        <w:t>La convergence des constats doit enfin être rapportée à la composition du corpus. Les intervenants présents étaient pour l'essentiel d'anciens responsables publics, dont la lecture institutionnelle peut refléter la position autant que la réalité du terrain. Les praticiens absents auraient pu situer les contraintes ailleurs : dans le coût des matières, l'accès au crédit ou la concurrence des vendeurs extérieurs.</w:t>
      </w:r>
    </w:p>
    <w:p w14:paraId="5A3BDD7B" w14:textId="77777777" w:rsidR="008F128A" w:rsidRDefault="00000000">
      <w:pPr>
        <w:pStyle w:val="Heading1"/>
      </w:pPr>
      <w:bookmarkStart w:id="27" w:name="_Toc241614688"/>
      <w:r>
        <w:lastRenderedPageBreak/>
        <w:t>6. Propositions</w:t>
      </w:r>
      <w:bookmarkEnd w:id="27"/>
    </w:p>
    <w:p w14:paraId="45ACAF58" w14:textId="77777777" w:rsidR="008F128A" w:rsidRDefault="00000000">
      <w:pPr>
        <w:pStyle w:val="Corpsdetexte"/>
      </w:pPr>
      <w:r>
        <w:t>La présente section engage le Carnival Economy Lab. Chaque proposition y est rattachée au constat qui la fonde.</w:t>
      </w:r>
    </w:p>
    <w:p w14:paraId="0CCF9FE2" w14:textId="77777777" w:rsidR="008F128A" w:rsidRDefault="00000000">
      <w:pPr>
        <w:pStyle w:val="Heading2"/>
      </w:pPr>
      <w:bookmarkStart w:id="28" w:name="_Toc241614689"/>
      <w:r>
        <w:t>6.1 Architecture de gouvernance</w:t>
      </w:r>
      <w:bookmarkEnd w:id="28"/>
    </w:p>
    <w:p w14:paraId="14355D92" w14:textId="77777777" w:rsidR="008F128A" w:rsidRDefault="00000000">
      <w:pPr>
        <w:pStyle w:val="Corpsdetexte"/>
      </w:pPr>
      <w:r>
        <w:t>La proposition concilie les deux positions exprimées dans la tension 1 : la commune porte le dispositif, l'État s'engage par voie de convention, les acteurs économiques y siègent (tableau 6). Le précédent le plus proche en est le comité permanent institué à Port-au-Prince en 2009 sous le mandat de Muscadin Jean-Yves Jason (Jason, 2026). Conformément à la distinction opérée par Dessources (V), l'ingénierie de la structure et le processus d'engagement des acteurs sont traités comme deux chantiers distincts.</w:t>
      </w:r>
    </w:p>
    <w:p w14:paraId="5E5373EB" w14:textId="77777777" w:rsidR="008F128A" w:rsidRDefault="00000000">
      <w:pPr>
        <w:pStyle w:val="Lgende"/>
        <w:keepNext/>
      </w:pPr>
      <w:r>
        <w:t>Tableau 6. Instances proposées</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3"/>
        <w:gridCol w:w="2503"/>
        <w:gridCol w:w="3204"/>
        <w:gridCol w:w="1602"/>
      </w:tblGrid>
      <w:tr w:rsidR="008F128A" w14:paraId="0C5E9D3D" w14:textId="77777777">
        <w:trPr>
          <w:cantSplit/>
          <w:tblHeader/>
        </w:trPr>
        <w:tc>
          <w:tcPr>
            <w:tcW w:w="21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4292DBF5" w14:textId="77777777" w:rsidR="008F128A" w:rsidRDefault="00000000">
            <w:pPr>
              <w:spacing w:line="250" w:lineRule="auto"/>
            </w:pPr>
            <w:r>
              <w:rPr>
                <w:rFonts w:ascii="Calibri" w:eastAsia="Calibri" w:hAnsi="Calibri" w:cs="Calibri"/>
                <w:b/>
                <w:bCs/>
                <w:color w:val="FFFFFF"/>
                <w:sz w:val="17"/>
                <w:szCs w:val="17"/>
              </w:rPr>
              <w:t>Instance</w:t>
            </w:r>
          </w:p>
        </w:tc>
        <w:tc>
          <w:tcPr>
            <w:tcW w:w="25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170D1AD3" w14:textId="77777777" w:rsidR="008F128A" w:rsidRDefault="00000000">
            <w:pPr>
              <w:spacing w:line="250" w:lineRule="auto"/>
            </w:pPr>
            <w:r>
              <w:rPr>
                <w:rFonts w:ascii="Calibri" w:eastAsia="Calibri" w:hAnsi="Calibri" w:cs="Calibri"/>
                <w:b/>
                <w:bCs/>
                <w:color w:val="FFFFFF"/>
                <w:sz w:val="17"/>
                <w:szCs w:val="17"/>
              </w:rPr>
              <w:t>Composition</w:t>
            </w:r>
          </w:p>
        </w:tc>
        <w:tc>
          <w:tcPr>
            <w:tcW w:w="3204"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6CCADBCE" w14:textId="77777777" w:rsidR="008F128A" w:rsidRDefault="00000000">
            <w:pPr>
              <w:spacing w:line="250" w:lineRule="auto"/>
            </w:pPr>
            <w:r>
              <w:rPr>
                <w:rFonts w:ascii="Calibri" w:eastAsia="Calibri" w:hAnsi="Calibri" w:cs="Calibri"/>
                <w:b/>
                <w:bCs/>
                <w:color w:val="FFFFFF"/>
                <w:sz w:val="17"/>
                <w:szCs w:val="17"/>
              </w:rPr>
              <w:t>Fonction</w:t>
            </w:r>
          </w:p>
        </w:tc>
        <w:tc>
          <w:tcPr>
            <w:tcW w:w="160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3D5F4ECB" w14:textId="77777777" w:rsidR="008F128A" w:rsidRDefault="00000000">
            <w:pPr>
              <w:spacing w:line="250" w:lineRule="auto"/>
            </w:pPr>
            <w:r>
              <w:rPr>
                <w:rFonts w:ascii="Calibri" w:eastAsia="Calibri" w:hAnsi="Calibri" w:cs="Calibri"/>
                <w:b/>
                <w:bCs/>
                <w:color w:val="FFFFFF"/>
                <w:sz w:val="17"/>
                <w:szCs w:val="17"/>
              </w:rPr>
              <w:t>Fondement</w:t>
            </w:r>
          </w:p>
        </w:tc>
      </w:tr>
      <w:tr w:rsidR="008F128A" w14:paraId="59F1E6D0" w14:textId="77777777">
        <w:trPr>
          <w:cantSplit/>
        </w:trPr>
        <w:tc>
          <w:tcPr>
            <w:tcW w:w="21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4C2D852" w14:textId="77777777" w:rsidR="008F128A" w:rsidRDefault="00000000">
            <w:pPr>
              <w:spacing w:line="250" w:lineRule="auto"/>
            </w:pPr>
            <w:r>
              <w:rPr>
                <w:rFonts w:ascii="Calibri" w:eastAsia="Calibri" w:hAnsi="Calibri" w:cs="Calibri"/>
                <w:sz w:val="17"/>
                <w:szCs w:val="17"/>
              </w:rPr>
              <w:t>Comité permanent du carnaval</w:t>
            </w:r>
          </w:p>
        </w:tc>
        <w:tc>
          <w:tcPr>
            <w:tcW w:w="25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1F18D3D" w14:textId="77777777" w:rsidR="008F128A" w:rsidRDefault="00000000">
            <w:pPr>
              <w:spacing w:line="250" w:lineRule="auto"/>
            </w:pPr>
            <w:r>
              <w:rPr>
                <w:rFonts w:ascii="Calibri" w:eastAsia="Calibri" w:hAnsi="Calibri" w:cs="Calibri"/>
                <w:sz w:val="17"/>
                <w:szCs w:val="17"/>
              </w:rPr>
              <w:t>Mairie de Jacmel (présidence)</w:t>
            </w:r>
          </w:p>
        </w:tc>
        <w:tc>
          <w:tcPr>
            <w:tcW w:w="32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AC459FF" w14:textId="77777777" w:rsidR="008F128A" w:rsidRDefault="00000000">
            <w:pPr>
              <w:spacing w:line="250" w:lineRule="auto"/>
            </w:pPr>
            <w:r>
              <w:rPr>
                <w:rFonts w:ascii="Calibri" w:eastAsia="Calibri" w:hAnsi="Calibri" w:cs="Calibri"/>
                <w:sz w:val="17"/>
                <w:szCs w:val="17"/>
              </w:rPr>
              <w:t>Plan directeur pluriannuel, calendrier publié, budget, suivi post-carnaval</w:t>
            </w:r>
          </w:p>
        </w:tc>
        <w:tc>
          <w:tcPr>
            <w:tcW w:w="16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9BD3047" w14:textId="77777777" w:rsidR="008F128A" w:rsidRDefault="00000000">
            <w:pPr>
              <w:spacing w:line="250" w:lineRule="auto"/>
            </w:pPr>
            <w:r>
              <w:rPr>
                <w:rFonts w:ascii="Calibri" w:eastAsia="Calibri" w:hAnsi="Calibri" w:cs="Calibri"/>
                <w:sz w:val="17"/>
                <w:szCs w:val="17"/>
              </w:rPr>
              <w:t>C1, C2</w:t>
            </w:r>
          </w:p>
        </w:tc>
      </w:tr>
      <w:tr w:rsidR="008F128A" w14:paraId="369A237F" w14:textId="77777777">
        <w:trPr>
          <w:cantSplit/>
        </w:trPr>
        <w:tc>
          <w:tcPr>
            <w:tcW w:w="21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0309D4B" w14:textId="77777777" w:rsidR="008F128A" w:rsidRDefault="00000000">
            <w:pPr>
              <w:spacing w:line="250" w:lineRule="auto"/>
            </w:pPr>
            <w:r>
              <w:rPr>
                <w:rFonts w:ascii="Calibri" w:eastAsia="Calibri" w:hAnsi="Calibri" w:cs="Calibri"/>
                <w:sz w:val="17"/>
                <w:szCs w:val="17"/>
              </w:rPr>
              <w:t>Direction artistique</w:t>
            </w:r>
          </w:p>
        </w:tc>
        <w:tc>
          <w:tcPr>
            <w:tcW w:w="25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40F1705" w14:textId="77777777" w:rsidR="008F128A" w:rsidRDefault="00000000">
            <w:pPr>
              <w:spacing w:line="250" w:lineRule="auto"/>
            </w:pPr>
            <w:r>
              <w:rPr>
                <w:rFonts w:ascii="Calibri" w:eastAsia="Calibri" w:hAnsi="Calibri" w:cs="Calibri"/>
                <w:sz w:val="17"/>
                <w:szCs w:val="17"/>
              </w:rPr>
              <w:t>Nommée par le comité</w:t>
            </w:r>
          </w:p>
        </w:tc>
        <w:tc>
          <w:tcPr>
            <w:tcW w:w="32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1F2ED50" w14:textId="77777777" w:rsidR="008F128A" w:rsidRDefault="00000000">
            <w:pPr>
              <w:spacing w:line="250" w:lineRule="auto"/>
            </w:pPr>
            <w:r>
              <w:rPr>
                <w:rFonts w:ascii="Calibri" w:eastAsia="Calibri" w:hAnsi="Calibri" w:cs="Calibri"/>
                <w:sz w:val="17"/>
                <w:szCs w:val="17"/>
              </w:rPr>
              <w:t>Identité de la ville, scénographie, délais de création</w:t>
            </w:r>
          </w:p>
        </w:tc>
        <w:tc>
          <w:tcPr>
            <w:tcW w:w="16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F86EF61" w14:textId="77777777" w:rsidR="008F128A" w:rsidRDefault="00000000">
            <w:pPr>
              <w:spacing w:line="250" w:lineRule="auto"/>
            </w:pPr>
            <w:r>
              <w:rPr>
                <w:rFonts w:ascii="Calibri" w:eastAsia="Calibri" w:hAnsi="Calibri" w:cs="Calibri"/>
                <w:sz w:val="17"/>
                <w:szCs w:val="17"/>
              </w:rPr>
              <w:t>C1 ; Jason (V, T)</w:t>
            </w:r>
          </w:p>
        </w:tc>
      </w:tr>
      <w:tr w:rsidR="008F128A" w14:paraId="5C5DE4B9" w14:textId="77777777">
        <w:trPr>
          <w:cantSplit/>
        </w:trPr>
        <w:tc>
          <w:tcPr>
            <w:tcW w:w="21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2508F02" w14:textId="77777777" w:rsidR="008F128A" w:rsidRDefault="00000000">
            <w:pPr>
              <w:spacing w:line="250" w:lineRule="auto"/>
            </w:pPr>
            <w:r>
              <w:rPr>
                <w:rFonts w:ascii="Calibri" w:eastAsia="Calibri" w:hAnsi="Calibri" w:cs="Calibri"/>
                <w:sz w:val="17"/>
                <w:szCs w:val="17"/>
              </w:rPr>
              <w:t>Secrétariat technique</w:t>
            </w:r>
          </w:p>
        </w:tc>
        <w:tc>
          <w:tcPr>
            <w:tcW w:w="25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78B31B0" w14:textId="77777777" w:rsidR="008F128A" w:rsidRDefault="00000000">
            <w:pPr>
              <w:spacing w:line="250" w:lineRule="auto"/>
            </w:pPr>
            <w:r>
              <w:rPr>
                <w:rFonts w:ascii="Calibri" w:eastAsia="Calibri" w:hAnsi="Calibri" w:cs="Calibri"/>
                <w:sz w:val="17"/>
                <w:szCs w:val="17"/>
              </w:rPr>
              <w:t>Personnel stable en finances publiques, marketing et logistique</w:t>
            </w:r>
          </w:p>
        </w:tc>
        <w:tc>
          <w:tcPr>
            <w:tcW w:w="32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1FE37B5" w14:textId="77777777" w:rsidR="008F128A" w:rsidRDefault="00000000">
            <w:pPr>
              <w:spacing w:line="250" w:lineRule="auto"/>
            </w:pPr>
            <w:r>
              <w:rPr>
                <w:rFonts w:ascii="Calibri" w:eastAsia="Calibri" w:hAnsi="Calibri" w:cs="Calibri"/>
                <w:sz w:val="17"/>
                <w:szCs w:val="17"/>
              </w:rPr>
              <w:t>Dossiers de financement, négociation avec l'État et le secteur privé, mémoire technique</w:t>
            </w:r>
          </w:p>
        </w:tc>
        <w:tc>
          <w:tcPr>
            <w:tcW w:w="16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0ABDD85" w14:textId="77777777" w:rsidR="008F128A" w:rsidRDefault="00000000">
            <w:pPr>
              <w:spacing w:line="250" w:lineRule="auto"/>
            </w:pPr>
            <w:r>
              <w:rPr>
                <w:rFonts w:ascii="Calibri" w:eastAsia="Calibri" w:hAnsi="Calibri" w:cs="Calibri"/>
                <w:sz w:val="17"/>
                <w:szCs w:val="17"/>
              </w:rPr>
              <w:t>C2, C3</w:t>
            </w:r>
          </w:p>
        </w:tc>
      </w:tr>
      <w:tr w:rsidR="008F128A" w14:paraId="09F62A8C" w14:textId="77777777">
        <w:trPr>
          <w:cantSplit/>
        </w:trPr>
        <w:tc>
          <w:tcPr>
            <w:tcW w:w="21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91C69E6" w14:textId="77777777" w:rsidR="008F128A" w:rsidRDefault="00000000">
            <w:pPr>
              <w:spacing w:line="250" w:lineRule="auto"/>
            </w:pPr>
            <w:r>
              <w:rPr>
                <w:rFonts w:ascii="Calibri" w:eastAsia="Calibri" w:hAnsi="Calibri" w:cs="Calibri"/>
                <w:sz w:val="17"/>
                <w:szCs w:val="17"/>
              </w:rPr>
              <w:t>Table institutionnelle</w:t>
            </w:r>
          </w:p>
        </w:tc>
        <w:tc>
          <w:tcPr>
            <w:tcW w:w="25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2174F94" w14:textId="77777777" w:rsidR="008F128A" w:rsidRDefault="00000000">
            <w:pPr>
              <w:spacing w:line="250" w:lineRule="auto"/>
            </w:pPr>
            <w:r>
              <w:rPr>
                <w:rFonts w:ascii="Calibri" w:eastAsia="Calibri" w:hAnsi="Calibri" w:cs="Calibri"/>
                <w:sz w:val="17"/>
                <w:szCs w:val="17"/>
              </w:rPr>
              <w:t>MCC, ministère du Tourisme, MCI, MPCE, collectivités, ISPAN</w:t>
            </w:r>
          </w:p>
        </w:tc>
        <w:tc>
          <w:tcPr>
            <w:tcW w:w="32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0354D55C" w14:textId="77777777" w:rsidR="008F128A" w:rsidRDefault="00000000">
            <w:pPr>
              <w:spacing w:line="250" w:lineRule="auto"/>
            </w:pPr>
            <w:r>
              <w:rPr>
                <w:rFonts w:ascii="Calibri" w:eastAsia="Calibri" w:hAnsi="Calibri" w:cs="Calibri"/>
                <w:sz w:val="17"/>
                <w:szCs w:val="17"/>
              </w:rPr>
              <w:t>Engagement conventionnel : signataire décisionnaire, ligne budgétaire, calendrier de réunions</w:t>
            </w:r>
          </w:p>
        </w:tc>
        <w:tc>
          <w:tcPr>
            <w:tcW w:w="16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889CFCF" w14:textId="77777777" w:rsidR="008F128A" w:rsidRDefault="00000000">
            <w:pPr>
              <w:spacing w:line="250" w:lineRule="auto"/>
            </w:pPr>
            <w:r>
              <w:rPr>
                <w:rFonts w:ascii="Calibri" w:eastAsia="Calibri" w:hAnsi="Calibri" w:cs="Calibri"/>
                <w:sz w:val="17"/>
                <w:szCs w:val="17"/>
              </w:rPr>
              <w:t>C3 ; tension 1</w:t>
            </w:r>
          </w:p>
        </w:tc>
      </w:tr>
      <w:tr w:rsidR="008F128A" w14:paraId="05B7BCF4" w14:textId="77777777">
        <w:trPr>
          <w:cantSplit/>
        </w:trPr>
        <w:tc>
          <w:tcPr>
            <w:tcW w:w="21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3CAE805" w14:textId="77777777" w:rsidR="008F128A" w:rsidRDefault="00000000">
            <w:pPr>
              <w:spacing w:line="250" w:lineRule="auto"/>
            </w:pPr>
            <w:r>
              <w:rPr>
                <w:rFonts w:ascii="Calibri" w:eastAsia="Calibri" w:hAnsi="Calibri" w:cs="Calibri"/>
                <w:sz w:val="17"/>
                <w:szCs w:val="17"/>
              </w:rPr>
              <w:t>Collège des acteurs économiques</w:t>
            </w:r>
          </w:p>
        </w:tc>
        <w:tc>
          <w:tcPr>
            <w:tcW w:w="25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A33D345" w14:textId="77777777" w:rsidR="008F128A" w:rsidRDefault="00000000">
            <w:pPr>
              <w:spacing w:line="250" w:lineRule="auto"/>
            </w:pPr>
            <w:r>
              <w:rPr>
                <w:rFonts w:ascii="Calibri" w:eastAsia="Calibri" w:hAnsi="Calibri" w:cs="Calibri"/>
                <w:sz w:val="17"/>
                <w:szCs w:val="17"/>
              </w:rPr>
              <w:t>Ateliers, hôteliers, restaurateurs, commerçants, transporteurs, opérateurs de paiement, diaspora</w:t>
            </w:r>
          </w:p>
        </w:tc>
        <w:tc>
          <w:tcPr>
            <w:tcW w:w="32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13CD489" w14:textId="77777777" w:rsidR="008F128A" w:rsidRDefault="00000000">
            <w:pPr>
              <w:spacing w:line="250" w:lineRule="auto"/>
            </w:pPr>
            <w:r>
              <w:rPr>
                <w:rFonts w:ascii="Calibri" w:eastAsia="Calibri" w:hAnsi="Calibri" w:cs="Calibri"/>
                <w:sz w:val="17"/>
                <w:szCs w:val="17"/>
              </w:rPr>
              <w:t>Remontée des contraintes de marché, cofinancement, test des offres</w:t>
            </w:r>
          </w:p>
        </w:tc>
        <w:tc>
          <w:tcPr>
            <w:tcW w:w="16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5B256C5" w14:textId="77777777" w:rsidR="008F128A" w:rsidRDefault="00000000">
            <w:pPr>
              <w:spacing w:line="250" w:lineRule="auto"/>
            </w:pPr>
            <w:r>
              <w:rPr>
                <w:rFonts w:ascii="Calibri" w:eastAsia="Calibri" w:hAnsi="Calibri" w:cs="Calibri"/>
                <w:sz w:val="17"/>
                <w:szCs w:val="17"/>
              </w:rPr>
              <w:t>C5, C6</w:t>
            </w:r>
          </w:p>
        </w:tc>
      </w:tr>
      <w:tr w:rsidR="008F128A" w14:paraId="74CD15E5" w14:textId="77777777">
        <w:trPr>
          <w:cantSplit/>
        </w:trPr>
        <w:tc>
          <w:tcPr>
            <w:tcW w:w="21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4D89A01" w14:textId="77777777" w:rsidR="008F128A" w:rsidRDefault="00000000">
            <w:pPr>
              <w:spacing w:line="250" w:lineRule="auto"/>
            </w:pPr>
            <w:r>
              <w:rPr>
                <w:rFonts w:ascii="Calibri" w:eastAsia="Calibri" w:hAnsi="Calibri" w:cs="Calibri"/>
                <w:sz w:val="17"/>
                <w:szCs w:val="17"/>
              </w:rPr>
              <w:t>Observatoire</w:t>
            </w:r>
          </w:p>
        </w:tc>
        <w:tc>
          <w:tcPr>
            <w:tcW w:w="25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4990F80" w14:textId="77777777" w:rsidR="008F128A" w:rsidRDefault="00000000">
            <w:pPr>
              <w:spacing w:line="250" w:lineRule="auto"/>
            </w:pPr>
            <w:r>
              <w:rPr>
                <w:rFonts w:ascii="Calibri" w:eastAsia="Calibri" w:hAnsi="Calibri" w:cs="Calibri"/>
                <w:sz w:val="17"/>
                <w:szCs w:val="17"/>
              </w:rPr>
              <w:t>Carnival Economy Lab</w:t>
            </w:r>
          </w:p>
        </w:tc>
        <w:tc>
          <w:tcPr>
            <w:tcW w:w="32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EF473FE" w14:textId="77777777" w:rsidR="008F128A" w:rsidRDefault="00000000">
            <w:pPr>
              <w:spacing w:line="250" w:lineRule="auto"/>
            </w:pPr>
            <w:r>
              <w:rPr>
                <w:rFonts w:ascii="Calibri" w:eastAsia="Calibri" w:hAnsi="Calibri" w:cs="Calibri"/>
                <w:sz w:val="17"/>
                <w:szCs w:val="17"/>
              </w:rPr>
              <w:t>Mesure et publication, sans pouvoir de décision ni rôle d'organisation</w:t>
            </w:r>
          </w:p>
        </w:tc>
        <w:tc>
          <w:tcPr>
            <w:tcW w:w="16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312D6F4" w14:textId="77777777" w:rsidR="008F128A" w:rsidRDefault="00000000">
            <w:pPr>
              <w:spacing w:line="250" w:lineRule="auto"/>
            </w:pPr>
            <w:r>
              <w:rPr>
                <w:rFonts w:ascii="Calibri" w:eastAsia="Calibri" w:hAnsi="Calibri" w:cs="Calibri"/>
                <w:sz w:val="17"/>
                <w:szCs w:val="17"/>
              </w:rPr>
              <w:t>C2, C5</w:t>
            </w:r>
          </w:p>
        </w:tc>
      </w:tr>
    </w:tbl>
    <w:p w14:paraId="7ACDE86D" w14:textId="77777777" w:rsidR="008F128A" w:rsidRDefault="00000000">
      <w:pPr>
        <w:pStyle w:val="Source"/>
      </w:pPr>
      <w:r>
        <w:t>Source : proposition CEL.</w:t>
      </w:r>
    </w:p>
    <w:p w14:paraId="485A8F90" w14:textId="77777777" w:rsidR="008F128A" w:rsidRDefault="00000000">
      <w:pPr>
        <w:pStyle w:val="Heading2"/>
      </w:pPr>
      <w:bookmarkStart w:id="29" w:name="_Toc241614690"/>
      <w:r>
        <w:t>6.2 Recommandations</w:t>
      </w:r>
      <w:bookmarkEnd w:id="29"/>
    </w:p>
    <w:p w14:paraId="55426BCA" w14:textId="77777777" w:rsidR="008F128A" w:rsidRDefault="00000000">
      <w:pPr>
        <w:pStyle w:val="Corpsdetexte"/>
      </w:pPr>
      <w:r>
        <w:t>Le tableau 7 précise, pour chaque recommandation, son destinataire, son horizon et son indicateur de suivi. Les horizons distinguent l'édition 2027 (octobre 2026 à mars 2027) de la trajectoire 2027-2030.</w:t>
      </w:r>
    </w:p>
    <w:p w14:paraId="702E1479" w14:textId="77777777" w:rsidR="008F128A" w:rsidRDefault="00000000">
      <w:pPr>
        <w:pStyle w:val="Lgende"/>
        <w:keepNext/>
      </w:pPr>
      <w:r>
        <w:t>Tableau 7. Recommandations</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3"/>
        <w:gridCol w:w="1702"/>
        <w:gridCol w:w="1101"/>
        <w:gridCol w:w="2904"/>
        <w:gridCol w:w="1002"/>
      </w:tblGrid>
      <w:tr w:rsidR="008F128A" w14:paraId="5032D0ED" w14:textId="77777777">
        <w:trPr>
          <w:cantSplit/>
          <w:tblHeader/>
        </w:trPr>
        <w:tc>
          <w:tcPr>
            <w:tcW w:w="27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32D45BF8" w14:textId="77777777" w:rsidR="008F128A" w:rsidRDefault="00000000">
            <w:pPr>
              <w:spacing w:line="250" w:lineRule="auto"/>
            </w:pPr>
            <w:r>
              <w:rPr>
                <w:rFonts w:ascii="Calibri" w:eastAsia="Calibri" w:hAnsi="Calibri" w:cs="Calibri"/>
                <w:b/>
                <w:bCs/>
                <w:color w:val="FFFFFF"/>
                <w:sz w:val="16"/>
                <w:szCs w:val="16"/>
              </w:rPr>
              <w:t>Recommandation</w:t>
            </w:r>
          </w:p>
        </w:tc>
        <w:tc>
          <w:tcPr>
            <w:tcW w:w="170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17D9163B" w14:textId="77777777" w:rsidR="008F128A" w:rsidRDefault="00000000">
            <w:pPr>
              <w:spacing w:line="250" w:lineRule="auto"/>
            </w:pPr>
            <w:r>
              <w:rPr>
                <w:rFonts w:ascii="Calibri" w:eastAsia="Calibri" w:hAnsi="Calibri" w:cs="Calibri"/>
                <w:b/>
                <w:bCs/>
                <w:color w:val="FFFFFF"/>
                <w:sz w:val="16"/>
                <w:szCs w:val="16"/>
              </w:rPr>
              <w:t>Destinataire</w:t>
            </w:r>
          </w:p>
        </w:tc>
        <w:tc>
          <w:tcPr>
            <w:tcW w:w="1101"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7E36A6CD" w14:textId="77777777" w:rsidR="008F128A" w:rsidRDefault="00000000">
            <w:pPr>
              <w:spacing w:line="250" w:lineRule="auto"/>
            </w:pPr>
            <w:r>
              <w:rPr>
                <w:rFonts w:ascii="Calibri" w:eastAsia="Calibri" w:hAnsi="Calibri" w:cs="Calibri"/>
                <w:b/>
                <w:bCs/>
                <w:color w:val="FFFFFF"/>
                <w:sz w:val="16"/>
                <w:szCs w:val="16"/>
              </w:rPr>
              <w:t>Horizon</w:t>
            </w:r>
          </w:p>
        </w:tc>
        <w:tc>
          <w:tcPr>
            <w:tcW w:w="2904"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11AA10B8" w14:textId="77777777" w:rsidR="008F128A" w:rsidRDefault="00000000">
            <w:pPr>
              <w:spacing w:line="250" w:lineRule="auto"/>
            </w:pPr>
            <w:r>
              <w:rPr>
                <w:rFonts w:ascii="Calibri" w:eastAsia="Calibri" w:hAnsi="Calibri" w:cs="Calibri"/>
                <w:b/>
                <w:bCs/>
                <w:color w:val="FFFFFF"/>
                <w:sz w:val="16"/>
                <w:szCs w:val="16"/>
              </w:rPr>
              <w:t>Indicateur de suivi</w:t>
            </w:r>
          </w:p>
        </w:tc>
        <w:tc>
          <w:tcPr>
            <w:tcW w:w="100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44501B44" w14:textId="77777777" w:rsidR="008F128A" w:rsidRDefault="00000000">
            <w:pPr>
              <w:spacing w:line="250" w:lineRule="auto"/>
            </w:pPr>
            <w:r>
              <w:rPr>
                <w:rFonts w:ascii="Calibri" w:eastAsia="Calibri" w:hAnsi="Calibri" w:cs="Calibri"/>
                <w:b/>
                <w:bCs/>
                <w:color w:val="FFFFFF"/>
                <w:sz w:val="16"/>
                <w:szCs w:val="16"/>
              </w:rPr>
              <w:t>Constat</w:t>
            </w:r>
          </w:p>
        </w:tc>
      </w:tr>
      <w:tr w:rsidR="008F128A" w14:paraId="506FE50E" w14:textId="77777777">
        <w:trPr>
          <w:cantSplit/>
        </w:trPr>
        <w:tc>
          <w:tcPr>
            <w:tcW w:w="27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885EA0A" w14:textId="77777777" w:rsidR="008F128A" w:rsidRDefault="00000000">
            <w:pPr>
              <w:spacing w:line="250" w:lineRule="auto"/>
            </w:pPr>
            <w:r>
              <w:rPr>
                <w:rFonts w:ascii="Calibri" w:eastAsia="Calibri" w:hAnsi="Calibri" w:cs="Calibri"/>
                <w:sz w:val="16"/>
                <w:szCs w:val="16"/>
              </w:rPr>
              <w:t>R1 · Instituer le comité permanent et publier le calendrier 2027</w:t>
            </w:r>
          </w:p>
        </w:tc>
        <w:tc>
          <w:tcPr>
            <w:tcW w:w="17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4706895" w14:textId="77777777" w:rsidR="008F128A" w:rsidRDefault="00000000">
            <w:pPr>
              <w:spacing w:line="250" w:lineRule="auto"/>
            </w:pPr>
            <w:r>
              <w:rPr>
                <w:rFonts w:ascii="Calibri" w:eastAsia="Calibri" w:hAnsi="Calibri" w:cs="Calibri"/>
                <w:sz w:val="16"/>
                <w:szCs w:val="16"/>
              </w:rPr>
              <w:t>Mairie de Jacmel</w:t>
            </w:r>
          </w:p>
        </w:tc>
        <w:tc>
          <w:tcPr>
            <w:tcW w:w="11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7690BFE" w14:textId="77777777" w:rsidR="008F128A" w:rsidRDefault="00000000">
            <w:pPr>
              <w:spacing w:line="250" w:lineRule="auto"/>
            </w:pPr>
            <w:r>
              <w:rPr>
                <w:rFonts w:ascii="Calibri" w:eastAsia="Calibri" w:hAnsi="Calibri" w:cs="Calibri"/>
                <w:sz w:val="16"/>
                <w:szCs w:val="16"/>
              </w:rPr>
              <w:t>Édition 2027</w:t>
            </w:r>
          </w:p>
        </w:tc>
        <w:tc>
          <w:tcPr>
            <w:tcW w:w="29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3FE16BF" w14:textId="77777777" w:rsidR="008F128A" w:rsidRDefault="00000000">
            <w:pPr>
              <w:spacing w:line="250" w:lineRule="auto"/>
            </w:pPr>
            <w:r>
              <w:rPr>
                <w:rFonts w:ascii="Calibri" w:eastAsia="Calibri" w:hAnsi="Calibri" w:cs="Calibri"/>
                <w:sz w:val="16"/>
                <w:szCs w:val="16"/>
              </w:rPr>
              <w:t>Arrêté ou décision municipale ; date de publication du calendrier</w:t>
            </w:r>
          </w:p>
        </w:tc>
        <w:tc>
          <w:tcPr>
            <w:tcW w:w="10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5BB6073" w14:textId="77777777" w:rsidR="008F128A" w:rsidRDefault="00000000">
            <w:pPr>
              <w:spacing w:line="250" w:lineRule="auto"/>
            </w:pPr>
            <w:r>
              <w:rPr>
                <w:rFonts w:ascii="Calibri" w:eastAsia="Calibri" w:hAnsi="Calibri" w:cs="Calibri"/>
                <w:sz w:val="16"/>
                <w:szCs w:val="16"/>
              </w:rPr>
              <w:t>C1</w:t>
            </w:r>
          </w:p>
        </w:tc>
      </w:tr>
      <w:tr w:rsidR="008F128A" w14:paraId="407E829E" w14:textId="77777777">
        <w:trPr>
          <w:cantSplit/>
        </w:trPr>
        <w:tc>
          <w:tcPr>
            <w:tcW w:w="27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FB33CA6" w14:textId="77777777" w:rsidR="008F128A" w:rsidRDefault="00000000">
            <w:pPr>
              <w:spacing w:line="250" w:lineRule="auto"/>
            </w:pPr>
            <w:r>
              <w:rPr>
                <w:rFonts w:ascii="Calibri" w:eastAsia="Calibri" w:hAnsi="Calibri" w:cs="Calibri"/>
                <w:sz w:val="16"/>
                <w:szCs w:val="16"/>
              </w:rPr>
              <w:t>R2 · Formaliser par convention l'engagement de l'État</w:t>
            </w:r>
          </w:p>
        </w:tc>
        <w:tc>
          <w:tcPr>
            <w:tcW w:w="17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4A2AA217" w14:textId="77777777" w:rsidR="008F128A" w:rsidRDefault="00000000">
            <w:pPr>
              <w:spacing w:line="250" w:lineRule="auto"/>
            </w:pPr>
            <w:r>
              <w:rPr>
                <w:rFonts w:ascii="Calibri" w:eastAsia="Calibri" w:hAnsi="Calibri" w:cs="Calibri"/>
                <w:sz w:val="16"/>
                <w:szCs w:val="16"/>
              </w:rPr>
              <w:t>MCC, ministère du Tourisme, mairie</w:t>
            </w:r>
          </w:p>
        </w:tc>
        <w:tc>
          <w:tcPr>
            <w:tcW w:w="110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0993ADF" w14:textId="77777777" w:rsidR="008F128A" w:rsidRDefault="00000000">
            <w:pPr>
              <w:spacing w:line="250" w:lineRule="auto"/>
            </w:pPr>
            <w:r>
              <w:rPr>
                <w:rFonts w:ascii="Calibri" w:eastAsia="Calibri" w:hAnsi="Calibri" w:cs="Calibri"/>
                <w:sz w:val="16"/>
                <w:szCs w:val="16"/>
              </w:rPr>
              <w:t>Édition 2027</w:t>
            </w:r>
          </w:p>
        </w:tc>
        <w:tc>
          <w:tcPr>
            <w:tcW w:w="29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1747A24" w14:textId="77777777" w:rsidR="008F128A" w:rsidRDefault="00000000">
            <w:pPr>
              <w:spacing w:line="250" w:lineRule="auto"/>
            </w:pPr>
            <w:r>
              <w:rPr>
                <w:rFonts w:ascii="Calibri" w:eastAsia="Calibri" w:hAnsi="Calibri" w:cs="Calibri"/>
                <w:sz w:val="16"/>
                <w:szCs w:val="16"/>
              </w:rPr>
              <w:t>Conventions signées ; montants inscrits avant l'édition</w:t>
            </w:r>
          </w:p>
        </w:tc>
        <w:tc>
          <w:tcPr>
            <w:tcW w:w="10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C7E9DF5" w14:textId="77777777" w:rsidR="008F128A" w:rsidRDefault="00000000">
            <w:pPr>
              <w:spacing w:line="250" w:lineRule="auto"/>
            </w:pPr>
            <w:r>
              <w:rPr>
                <w:rFonts w:ascii="Calibri" w:eastAsia="Calibri" w:hAnsi="Calibri" w:cs="Calibri"/>
                <w:sz w:val="16"/>
                <w:szCs w:val="16"/>
              </w:rPr>
              <w:t>C3</w:t>
            </w:r>
          </w:p>
        </w:tc>
      </w:tr>
      <w:tr w:rsidR="008F128A" w14:paraId="5749BE54" w14:textId="77777777">
        <w:trPr>
          <w:cantSplit/>
        </w:trPr>
        <w:tc>
          <w:tcPr>
            <w:tcW w:w="27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065AD3B" w14:textId="77777777" w:rsidR="008F128A" w:rsidRDefault="00000000">
            <w:pPr>
              <w:spacing w:line="250" w:lineRule="auto"/>
            </w:pPr>
            <w:r>
              <w:rPr>
                <w:rFonts w:ascii="Calibri" w:eastAsia="Calibri" w:hAnsi="Calibri" w:cs="Calibri"/>
                <w:sz w:val="16"/>
                <w:szCs w:val="16"/>
              </w:rPr>
              <w:t>R3 · Publier un rapport à l’issue de chaque édition</w:t>
            </w:r>
          </w:p>
        </w:tc>
        <w:tc>
          <w:tcPr>
            <w:tcW w:w="17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7B3955C" w14:textId="77777777" w:rsidR="008F128A" w:rsidRDefault="00000000">
            <w:pPr>
              <w:spacing w:line="250" w:lineRule="auto"/>
            </w:pPr>
            <w:r>
              <w:rPr>
                <w:rFonts w:ascii="Calibri" w:eastAsia="Calibri" w:hAnsi="Calibri" w:cs="Calibri"/>
                <w:sz w:val="16"/>
                <w:szCs w:val="16"/>
              </w:rPr>
              <w:t>Comité, CEL</w:t>
            </w:r>
          </w:p>
        </w:tc>
        <w:tc>
          <w:tcPr>
            <w:tcW w:w="11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F75DDF5" w14:textId="77777777" w:rsidR="008F128A" w:rsidRDefault="00000000">
            <w:pPr>
              <w:spacing w:line="250" w:lineRule="auto"/>
            </w:pPr>
            <w:r>
              <w:rPr>
                <w:rFonts w:ascii="Calibri" w:eastAsia="Calibri" w:hAnsi="Calibri" w:cs="Calibri"/>
                <w:sz w:val="16"/>
                <w:szCs w:val="16"/>
              </w:rPr>
              <w:t>Édition 2027</w:t>
            </w:r>
          </w:p>
        </w:tc>
        <w:tc>
          <w:tcPr>
            <w:tcW w:w="29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7D103A8" w14:textId="77777777" w:rsidR="008F128A" w:rsidRDefault="00000000">
            <w:pPr>
              <w:spacing w:line="250" w:lineRule="auto"/>
            </w:pPr>
            <w:r>
              <w:rPr>
                <w:rFonts w:ascii="Calibri" w:eastAsia="Calibri" w:hAnsi="Calibri" w:cs="Calibri"/>
                <w:sz w:val="16"/>
                <w:szCs w:val="16"/>
              </w:rPr>
              <w:t>Rapport publié dans un délai de 45 jours</w:t>
            </w:r>
          </w:p>
        </w:tc>
        <w:tc>
          <w:tcPr>
            <w:tcW w:w="10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885FD0D" w14:textId="77777777" w:rsidR="008F128A" w:rsidRDefault="00000000">
            <w:pPr>
              <w:spacing w:line="250" w:lineRule="auto"/>
            </w:pPr>
            <w:r>
              <w:rPr>
                <w:rFonts w:ascii="Calibri" w:eastAsia="Calibri" w:hAnsi="Calibri" w:cs="Calibri"/>
                <w:sz w:val="16"/>
                <w:szCs w:val="16"/>
              </w:rPr>
              <w:t>C2</w:t>
            </w:r>
          </w:p>
        </w:tc>
      </w:tr>
      <w:tr w:rsidR="008F128A" w14:paraId="581CFF45" w14:textId="77777777">
        <w:trPr>
          <w:cantSplit/>
        </w:trPr>
        <w:tc>
          <w:tcPr>
            <w:tcW w:w="27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431777DA" w14:textId="77777777" w:rsidR="008F128A" w:rsidRDefault="00000000">
            <w:pPr>
              <w:spacing w:line="250" w:lineRule="auto"/>
            </w:pPr>
            <w:r>
              <w:rPr>
                <w:rFonts w:ascii="Calibri" w:eastAsia="Calibri" w:hAnsi="Calibri" w:cs="Calibri"/>
                <w:sz w:val="16"/>
                <w:szCs w:val="16"/>
              </w:rPr>
              <w:lastRenderedPageBreak/>
              <w:t>R4 · Réglementer l'attribution des espaces commerciaux</w:t>
            </w:r>
          </w:p>
        </w:tc>
        <w:tc>
          <w:tcPr>
            <w:tcW w:w="17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65DD024" w14:textId="77777777" w:rsidR="008F128A" w:rsidRDefault="00000000">
            <w:pPr>
              <w:spacing w:line="250" w:lineRule="auto"/>
            </w:pPr>
            <w:r>
              <w:rPr>
                <w:rFonts w:ascii="Calibri" w:eastAsia="Calibri" w:hAnsi="Calibri" w:cs="Calibri"/>
                <w:sz w:val="16"/>
                <w:szCs w:val="16"/>
              </w:rPr>
              <w:t>Mairie</w:t>
            </w:r>
          </w:p>
        </w:tc>
        <w:tc>
          <w:tcPr>
            <w:tcW w:w="110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0806EF24" w14:textId="77777777" w:rsidR="008F128A" w:rsidRDefault="00000000">
            <w:pPr>
              <w:spacing w:line="250" w:lineRule="auto"/>
            </w:pPr>
            <w:r>
              <w:rPr>
                <w:rFonts w:ascii="Calibri" w:eastAsia="Calibri" w:hAnsi="Calibri" w:cs="Calibri"/>
                <w:sz w:val="16"/>
                <w:szCs w:val="16"/>
              </w:rPr>
              <w:t>Édition 2027</w:t>
            </w:r>
          </w:p>
        </w:tc>
        <w:tc>
          <w:tcPr>
            <w:tcW w:w="29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0D10E783" w14:textId="77777777" w:rsidR="008F128A" w:rsidRDefault="00000000">
            <w:pPr>
              <w:spacing w:line="250" w:lineRule="auto"/>
            </w:pPr>
            <w:r>
              <w:rPr>
                <w:rFonts w:ascii="Calibri" w:eastAsia="Calibri" w:hAnsi="Calibri" w:cs="Calibri"/>
                <w:sz w:val="16"/>
                <w:szCs w:val="16"/>
              </w:rPr>
              <w:t>Règlement publié ; part des espaces tenus par des producteurs jacméliens</w:t>
            </w:r>
          </w:p>
        </w:tc>
        <w:tc>
          <w:tcPr>
            <w:tcW w:w="10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C8E3F3D" w14:textId="77777777" w:rsidR="008F128A" w:rsidRDefault="00000000">
            <w:pPr>
              <w:spacing w:line="250" w:lineRule="auto"/>
            </w:pPr>
            <w:r>
              <w:rPr>
                <w:rFonts w:ascii="Calibri" w:eastAsia="Calibri" w:hAnsi="Calibri" w:cs="Calibri"/>
                <w:sz w:val="16"/>
                <w:szCs w:val="16"/>
              </w:rPr>
              <w:t>C5</w:t>
            </w:r>
          </w:p>
        </w:tc>
      </w:tr>
      <w:tr w:rsidR="008F128A" w14:paraId="62808FD9" w14:textId="77777777">
        <w:trPr>
          <w:cantSplit/>
        </w:trPr>
        <w:tc>
          <w:tcPr>
            <w:tcW w:w="27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B79DA6C" w14:textId="77777777" w:rsidR="008F128A" w:rsidRDefault="00000000">
            <w:pPr>
              <w:spacing w:line="250" w:lineRule="auto"/>
            </w:pPr>
            <w:r>
              <w:rPr>
                <w:rFonts w:ascii="Calibri" w:eastAsia="Calibri" w:hAnsi="Calibri" w:cs="Calibri"/>
                <w:sz w:val="16"/>
                <w:szCs w:val="16"/>
              </w:rPr>
              <w:t>R5 · Créer un registre des créateurs et prestataires</w:t>
            </w:r>
          </w:p>
        </w:tc>
        <w:tc>
          <w:tcPr>
            <w:tcW w:w="17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CBD51B4" w14:textId="77777777" w:rsidR="008F128A" w:rsidRDefault="00000000">
            <w:pPr>
              <w:spacing w:line="250" w:lineRule="auto"/>
            </w:pPr>
            <w:r>
              <w:rPr>
                <w:rFonts w:ascii="Calibri" w:eastAsia="Calibri" w:hAnsi="Calibri" w:cs="Calibri"/>
                <w:sz w:val="16"/>
                <w:szCs w:val="16"/>
              </w:rPr>
              <w:t>Comité, MCC</w:t>
            </w:r>
          </w:p>
        </w:tc>
        <w:tc>
          <w:tcPr>
            <w:tcW w:w="11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5F43298" w14:textId="77777777" w:rsidR="008F128A" w:rsidRDefault="00000000">
            <w:pPr>
              <w:spacing w:line="250" w:lineRule="auto"/>
            </w:pPr>
            <w:r>
              <w:rPr>
                <w:rFonts w:ascii="Calibri" w:eastAsia="Calibri" w:hAnsi="Calibri" w:cs="Calibri"/>
                <w:sz w:val="16"/>
                <w:szCs w:val="16"/>
              </w:rPr>
              <w:t>2027-2028</w:t>
            </w:r>
          </w:p>
        </w:tc>
        <w:tc>
          <w:tcPr>
            <w:tcW w:w="29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445C0A5" w14:textId="77777777" w:rsidR="008F128A" w:rsidRDefault="00000000">
            <w:pPr>
              <w:spacing w:line="250" w:lineRule="auto"/>
            </w:pPr>
            <w:r>
              <w:rPr>
                <w:rFonts w:ascii="Calibri" w:eastAsia="Calibri" w:hAnsi="Calibri" w:cs="Calibri"/>
                <w:sz w:val="16"/>
                <w:szCs w:val="16"/>
              </w:rPr>
              <w:t>Personnes inscrites</w:t>
            </w:r>
          </w:p>
        </w:tc>
        <w:tc>
          <w:tcPr>
            <w:tcW w:w="10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2FC4219" w14:textId="77777777" w:rsidR="008F128A" w:rsidRDefault="00000000">
            <w:pPr>
              <w:spacing w:line="250" w:lineRule="auto"/>
            </w:pPr>
            <w:r>
              <w:rPr>
                <w:rFonts w:ascii="Calibri" w:eastAsia="Calibri" w:hAnsi="Calibri" w:cs="Calibri"/>
                <w:sz w:val="16"/>
                <w:szCs w:val="16"/>
              </w:rPr>
              <w:t>C6</w:t>
            </w:r>
          </w:p>
        </w:tc>
      </w:tr>
      <w:tr w:rsidR="008F128A" w14:paraId="700A5AF5" w14:textId="77777777">
        <w:trPr>
          <w:cantSplit/>
        </w:trPr>
        <w:tc>
          <w:tcPr>
            <w:tcW w:w="27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91B5EB5" w14:textId="77777777" w:rsidR="008F128A" w:rsidRDefault="00000000">
            <w:pPr>
              <w:spacing w:line="250" w:lineRule="auto"/>
            </w:pPr>
            <w:r>
              <w:rPr>
                <w:rFonts w:ascii="Calibri" w:eastAsia="Calibri" w:hAnsi="Calibri" w:cs="Calibri"/>
                <w:sz w:val="16"/>
                <w:szCs w:val="16"/>
              </w:rPr>
              <w:t>R6 · Étendre la programmation au-delà des jours gras</w:t>
            </w:r>
          </w:p>
        </w:tc>
        <w:tc>
          <w:tcPr>
            <w:tcW w:w="17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A0D2EA8" w14:textId="77777777" w:rsidR="008F128A" w:rsidRDefault="00000000">
            <w:pPr>
              <w:spacing w:line="250" w:lineRule="auto"/>
            </w:pPr>
            <w:r>
              <w:rPr>
                <w:rFonts w:ascii="Calibri" w:eastAsia="Calibri" w:hAnsi="Calibri" w:cs="Calibri"/>
                <w:sz w:val="16"/>
                <w:szCs w:val="16"/>
              </w:rPr>
              <w:t>Comité, ISPAN, opérateurs privés</w:t>
            </w:r>
          </w:p>
        </w:tc>
        <w:tc>
          <w:tcPr>
            <w:tcW w:w="110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6C3A1E5" w14:textId="77777777" w:rsidR="008F128A" w:rsidRDefault="00000000">
            <w:pPr>
              <w:spacing w:line="250" w:lineRule="auto"/>
            </w:pPr>
            <w:r>
              <w:rPr>
                <w:rFonts w:ascii="Calibri" w:eastAsia="Calibri" w:hAnsi="Calibri" w:cs="Calibri"/>
                <w:sz w:val="16"/>
                <w:szCs w:val="16"/>
              </w:rPr>
              <w:t>2027-2029</w:t>
            </w:r>
          </w:p>
        </w:tc>
        <w:tc>
          <w:tcPr>
            <w:tcW w:w="29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A26B73E" w14:textId="77777777" w:rsidR="008F128A" w:rsidRDefault="00000000">
            <w:pPr>
              <w:spacing w:line="250" w:lineRule="auto"/>
            </w:pPr>
            <w:r>
              <w:rPr>
                <w:rFonts w:ascii="Calibri" w:eastAsia="Calibri" w:hAnsi="Calibri" w:cs="Calibri"/>
                <w:sz w:val="16"/>
                <w:szCs w:val="16"/>
              </w:rPr>
              <w:t>Jours d'activité hors défilé ; durée moyenne de séjour</w:t>
            </w:r>
          </w:p>
        </w:tc>
        <w:tc>
          <w:tcPr>
            <w:tcW w:w="10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A509254" w14:textId="77777777" w:rsidR="008F128A" w:rsidRDefault="00000000">
            <w:pPr>
              <w:spacing w:line="250" w:lineRule="auto"/>
            </w:pPr>
            <w:r>
              <w:rPr>
                <w:rFonts w:ascii="Calibri" w:eastAsia="Calibri" w:hAnsi="Calibri" w:cs="Calibri"/>
                <w:sz w:val="16"/>
                <w:szCs w:val="16"/>
              </w:rPr>
              <w:t>C4</w:t>
            </w:r>
          </w:p>
        </w:tc>
      </w:tr>
      <w:tr w:rsidR="008F128A" w14:paraId="493721A7" w14:textId="77777777">
        <w:trPr>
          <w:cantSplit/>
        </w:trPr>
        <w:tc>
          <w:tcPr>
            <w:tcW w:w="27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8505CEB" w14:textId="77777777" w:rsidR="008F128A" w:rsidRDefault="00000000">
            <w:pPr>
              <w:spacing w:line="250" w:lineRule="auto"/>
            </w:pPr>
            <w:r>
              <w:rPr>
                <w:rFonts w:ascii="Calibri" w:eastAsia="Calibri" w:hAnsi="Calibri" w:cs="Calibri"/>
                <w:sz w:val="16"/>
                <w:szCs w:val="16"/>
              </w:rPr>
              <w:t>R7 · Constituer un fonds de formation et d'équipement des métiers</w:t>
            </w:r>
          </w:p>
        </w:tc>
        <w:tc>
          <w:tcPr>
            <w:tcW w:w="17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E097D36" w14:textId="77777777" w:rsidR="008F128A" w:rsidRDefault="00000000">
            <w:pPr>
              <w:spacing w:line="250" w:lineRule="auto"/>
            </w:pPr>
            <w:r>
              <w:rPr>
                <w:rFonts w:ascii="Calibri" w:eastAsia="Calibri" w:hAnsi="Calibri" w:cs="Calibri"/>
                <w:sz w:val="16"/>
                <w:szCs w:val="16"/>
              </w:rPr>
              <w:t>Comité, partenaires publics et privés</w:t>
            </w:r>
          </w:p>
        </w:tc>
        <w:tc>
          <w:tcPr>
            <w:tcW w:w="11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D155249" w14:textId="77777777" w:rsidR="008F128A" w:rsidRDefault="00000000">
            <w:pPr>
              <w:spacing w:line="250" w:lineRule="auto"/>
            </w:pPr>
            <w:r>
              <w:rPr>
                <w:rFonts w:ascii="Calibri" w:eastAsia="Calibri" w:hAnsi="Calibri" w:cs="Calibri"/>
                <w:sz w:val="16"/>
                <w:szCs w:val="16"/>
              </w:rPr>
              <w:t>2028-2030</w:t>
            </w:r>
          </w:p>
        </w:tc>
        <w:tc>
          <w:tcPr>
            <w:tcW w:w="29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602BA45" w14:textId="77777777" w:rsidR="008F128A" w:rsidRDefault="00000000">
            <w:pPr>
              <w:spacing w:line="250" w:lineRule="auto"/>
            </w:pPr>
            <w:r>
              <w:rPr>
                <w:rFonts w:ascii="Calibri" w:eastAsia="Calibri" w:hAnsi="Calibri" w:cs="Calibri"/>
                <w:sz w:val="16"/>
                <w:szCs w:val="16"/>
              </w:rPr>
              <w:t>Montant du fonds ; personnes formées</w:t>
            </w:r>
          </w:p>
        </w:tc>
        <w:tc>
          <w:tcPr>
            <w:tcW w:w="10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1B0DDBC" w14:textId="77777777" w:rsidR="008F128A" w:rsidRDefault="00000000">
            <w:pPr>
              <w:spacing w:line="250" w:lineRule="auto"/>
            </w:pPr>
            <w:r>
              <w:rPr>
                <w:rFonts w:ascii="Calibri" w:eastAsia="Calibri" w:hAnsi="Calibri" w:cs="Calibri"/>
                <w:sz w:val="16"/>
                <w:szCs w:val="16"/>
              </w:rPr>
              <w:t>C6</w:t>
            </w:r>
          </w:p>
        </w:tc>
      </w:tr>
      <w:tr w:rsidR="008F128A" w14:paraId="6D8194E8" w14:textId="77777777">
        <w:trPr>
          <w:cantSplit/>
        </w:trPr>
        <w:tc>
          <w:tcPr>
            <w:tcW w:w="27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312F1E3" w14:textId="77777777" w:rsidR="008F128A" w:rsidRDefault="00000000">
            <w:pPr>
              <w:spacing w:line="250" w:lineRule="auto"/>
            </w:pPr>
            <w:r>
              <w:rPr>
                <w:rFonts w:ascii="Calibri" w:eastAsia="Calibri" w:hAnsi="Calibri" w:cs="Calibri"/>
                <w:sz w:val="16"/>
                <w:szCs w:val="16"/>
              </w:rPr>
              <w:t>R8 · Ouvrir une Maison du carnaval</w:t>
            </w:r>
          </w:p>
        </w:tc>
        <w:tc>
          <w:tcPr>
            <w:tcW w:w="17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8D672B8" w14:textId="77777777" w:rsidR="008F128A" w:rsidRDefault="00000000">
            <w:pPr>
              <w:spacing w:line="250" w:lineRule="auto"/>
            </w:pPr>
            <w:r>
              <w:rPr>
                <w:rFonts w:ascii="Calibri" w:eastAsia="Calibri" w:hAnsi="Calibri" w:cs="Calibri"/>
                <w:sz w:val="16"/>
                <w:szCs w:val="16"/>
              </w:rPr>
              <w:t>Mairie, MCC</w:t>
            </w:r>
          </w:p>
        </w:tc>
        <w:tc>
          <w:tcPr>
            <w:tcW w:w="110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05FBF435" w14:textId="77777777" w:rsidR="008F128A" w:rsidRDefault="00000000">
            <w:pPr>
              <w:spacing w:line="250" w:lineRule="auto"/>
            </w:pPr>
            <w:r>
              <w:rPr>
                <w:rFonts w:ascii="Calibri" w:eastAsia="Calibri" w:hAnsi="Calibri" w:cs="Calibri"/>
                <w:sz w:val="16"/>
                <w:szCs w:val="16"/>
              </w:rPr>
              <w:t>2028-2030</w:t>
            </w:r>
          </w:p>
        </w:tc>
        <w:tc>
          <w:tcPr>
            <w:tcW w:w="29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DD4564B" w14:textId="77777777" w:rsidR="008F128A" w:rsidRDefault="00000000">
            <w:pPr>
              <w:spacing w:line="250" w:lineRule="auto"/>
            </w:pPr>
            <w:r>
              <w:rPr>
                <w:rFonts w:ascii="Calibri" w:eastAsia="Calibri" w:hAnsi="Calibri" w:cs="Calibri"/>
                <w:sz w:val="16"/>
                <w:szCs w:val="16"/>
              </w:rPr>
              <w:t>Ouverture ; revenus des ateliers hors saison</w:t>
            </w:r>
          </w:p>
        </w:tc>
        <w:tc>
          <w:tcPr>
            <w:tcW w:w="10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45FF4833" w14:textId="77777777" w:rsidR="008F128A" w:rsidRDefault="00000000">
            <w:pPr>
              <w:spacing w:line="250" w:lineRule="auto"/>
            </w:pPr>
            <w:r>
              <w:rPr>
                <w:rFonts w:ascii="Calibri" w:eastAsia="Calibri" w:hAnsi="Calibri" w:cs="Calibri"/>
                <w:sz w:val="16"/>
                <w:szCs w:val="16"/>
              </w:rPr>
              <w:t>C6</w:t>
            </w:r>
          </w:p>
        </w:tc>
      </w:tr>
    </w:tbl>
    <w:p w14:paraId="1F3A73F5" w14:textId="77777777" w:rsidR="008F128A" w:rsidRDefault="00000000">
      <w:pPr>
        <w:pStyle w:val="Source"/>
      </w:pPr>
      <w:r>
        <w:t>Source : proposition CEL. Les horizons de R5 à R8 sont indicatifs et dépendent des résultats de l’édition 2027.</w:t>
      </w:r>
    </w:p>
    <w:p w14:paraId="207F323B" w14:textId="77777777" w:rsidR="008F128A" w:rsidRDefault="00000000">
      <w:pPr>
        <w:pStyle w:val="Heading2"/>
      </w:pPr>
      <w:bookmarkStart w:id="30" w:name="_Toc241614691"/>
      <w:r>
        <w:t>6.3 Observatoire</w:t>
      </w:r>
      <w:bookmarkEnd w:id="30"/>
    </w:p>
    <w:p w14:paraId="4AB6CC10" w14:textId="77777777" w:rsidR="008F128A" w:rsidRDefault="00000000">
      <w:pPr>
        <w:pStyle w:val="Corpsdetexte"/>
      </w:pPr>
      <w:r>
        <w:t>L'Observatoire mesure onze indicateurs dès 2027, comparables d'une édition à l'autre (tableau 8). Sa nomenclature reprend la décomposition proposée par Dessources (V) : quatre segments de visiteurs (résidents de Jacmel, visiteurs d'autres communes, diaspora, étrangers) et neuf postes de dépense (hébergement ; restauration ; transport vers Jacmel ; transport sur place ; activités programmées ; commerce courant ; souvenirs ; excursions ; autres services). Les définitions s'alignent sur le cadre de l'UNESCO pour les statistiques culturelles (UNESCO, 2009).</w:t>
      </w:r>
    </w:p>
    <w:p w14:paraId="61BF585A" w14:textId="77777777" w:rsidR="008F128A" w:rsidRDefault="00000000">
      <w:pPr>
        <w:pStyle w:val="Lgende"/>
        <w:keepNext/>
      </w:pPr>
      <w:r>
        <w:t>Tableau 8. Indicateurs de l'Observatoire</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3"/>
        <w:gridCol w:w="3705"/>
        <w:gridCol w:w="2103"/>
        <w:gridCol w:w="1601"/>
      </w:tblGrid>
      <w:tr w:rsidR="008F128A" w14:paraId="23C0F2BB" w14:textId="77777777">
        <w:trPr>
          <w:cantSplit/>
          <w:tblHeader/>
        </w:trPr>
        <w:tc>
          <w:tcPr>
            <w:tcW w:w="20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04AD6D09" w14:textId="77777777" w:rsidR="008F128A" w:rsidRDefault="00000000">
            <w:pPr>
              <w:spacing w:line="250" w:lineRule="auto"/>
            </w:pPr>
            <w:r>
              <w:rPr>
                <w:rFonts w:ascii="Calibri" w:eastAsia="Calibri" w:hAnsi="Calibri" w:cs="Calibri"/>
                <w:b/>
                <w:bCs/>
                <w:color w:val="FFFFFF"/>
                <w:sz w:val="17"/>
                <w:szCs w:val="17"/>
              </w:rPr>
              <w:t>Indicateur</w:t>
            </w:r>
          </w:p>
        </w:tc>
        <w:tc>
          <w:tcPr>
            <w:tcW w:w="3705"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0C3C9ACF" w14:textId="77777777" w:rsidR="008F128A" w:rsidRDefault="00000000">
            <w:pPr>
              <w:spacing w:line="250" w:lineRule="auto"/>
            </w:pPr>
            <w:r>
              <w:rPr>
                <w:rFonts w:ascii="Calibri" w:eastAsia="Calibri" w:hAnsi="Calibri" w:cs="Calibri"/>
                <w:b/>
                <w:bCs/>
                <w:color w:val="FFFFFF"/>
                <w:sz w:val="17"/>
                <w:szCs w:val="17"/>
              </w:rPr>
              <w:t>Définition</w:t>
            </w:r>
          </w:p>
        </w:tc>
        <w:tc>
          <w:tcPr>
            <w:tcW w:w="21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0C0BB4F2" w14:textId="77777777" w:rsidR="008F128A" w:rsidRDefault="00000000">
            <w:pPr>
              <w:spacing w:line="250" w:lineRule="auto"/>
            </w:pPr>
            <w:r>
              <w:rPr>
                <w:rFonts w:ascii="Calibri" w:eastAsia="Calibri" w:hAnsi="Calibri" w:cs="Calibri"/>
                <w:b/>
                <w:bCs/>
                <w:color w:val="FFFFFF"/>
                <w:sz w:val="17"/>
                <w:szCs w:val="17"/>
              </w:rPr>
              <w:t>Collecte</w:t>
            </w:r>
          </w:p>
        </w:tc>
        <w:tc>
          <w:tcPr>
            <w:tcW w:w="1601"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38294ECD" w14:textId="77777777" w:rsidR="008F128A" w:rsidRDefault="00000000">
            <w:pPr>
              <w:spacing w:line="250" w:lineRule="auto"/>
            </w:pPr>
            <w:r>
              <w:rPr>
                <w:rFonts w:ascii="Calibri" w:eastAsia="Calibri" w:hAnsi="Calibri" w:cs="Calibri"/>
                <w:b/>
                <w:bCs/>
                <w:color w:val="FFFFFF"/>
                <w:sz w:val="17"/>
                <w:szCs w:val="17"/>
              </w:rPr>
              <w:t>Fréquence</w:t>
            </w:r>
          </w:p>
        </w:tc>
      </w:tr>
      <w:tr w:rsidR="008F128A" w14:paraId="27741B10" w14:textId="77777777">
        <w:trPr>
          <w:cantSplit/>
        </w:trPr>
        <w:tc>
          <w:tcPr>
            <w:tcW w:w="20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C2CA4C2" w14:textId="77777777" w:rsidR="008F128A" w:rsidRDefault="00000000">
            <w:pPr>
              <w:spacing w:line="250" w:lineRule="auto"/>
            </w:pPr>
            <w:r>
              <w:rPr>
                <w:rFonts w:ascii="Calibri" w:eastAsia="Calibri" w:hAnsi="Calibri" w:cs="Calibri"/>
                <w:sz w:val="17"/>
                <w:szCs w:val="17"/>
              </w:rPr>
              <w:t>Visiteurs par segment</w:t>
            </w:r>
          </w:p>
        </w:tc>
        <w:tc>
          <w:tcPr>
            <w:tcW w:w="3705"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7B9827E" w14:textId="77777777" w:rsidR="008F128A" w:rsidRDefault="00000000">
            <w:pPr>
              <w:spacing w:line="250" w:lineRule="auto"/>
            </w:pPr>
            <w:r>
              <w:rPr>
                <w:rFonts w:ascii="Calibri" w:eastAsia="Calibri" w:hAnsi="Calibri" w:cs="Calibri"/>
                <w:sz w:val="17"/>
                <w:szCs w:val="17"/>
              </w:rPr>
              <w:t>Nombre estimé et part de chaque segment</w:t>
            </w:r>
          </w:p>
        </w:tc>
        <w:tc>
          <w:tcPr>
            <w:tcW w:w="21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2CFD159" w14:textId="77777777" w:rsidR="008F128A" w:rsidRDefault="00000000">
            <w:pPr>
              <w:spacing w:line="250" w:lineRule="auto"/>
            </w:pPr>
            <w:r>
              <w:rPr>
                <w:rFonts w:ascii="Calibri" w:eastAsia="Calibri" w:hAnsi="Calibri" w:cs="Calibri"/>
                <w:sz w:val="17"/>
                <w:szCs w:val="17"/>
              </w:rPr>
              <w:t>Questionnaire sur le parcours, comptages</w:t>
            </w:r>
          </w:p>
        </w:tc>
        <w:tc>
          <w:tcPr>
            <w:tcW w:w="16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99F184D" w14:textId="77777777" w:rsidR="008F128A" w:rsidRDefault="00000000">
            <w:pPr>
              <w:spacing w:line="250" w:lineRule="auto"/>
            </w:pPr>
            <w:r>
              <w:rPr>
                <w:rFonts w:ascii="Calibri" w:eastAsia="Calibri" w:hAnsi="Calibri" w:cs="Calibri"/>
                <w:sz w:val="17"/>
                <w:szCs w:val="17"/>
              </w:rPr>
              <w:t>Chaque édition</w:t>
            </w:r>
          </w:p>
        </w:tc>
      </w:tr>
      <w:tr w:rsidR="008F128A" w14:paraId="0BA7D782" w14:textId="77777777">
        <w:trPr>
          <w:cantSplit/>
        </w:trPr>
        <w:tc>
          <w:tcPr>
            <w:tcW w:w="20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C3F0D87" w14:textId="77777777" w:rsidR="008F128A" w:rsidRDefault="00000000">
            <w:pPr>
              <w:spacing w:line="250" w:lineRule="auto"/>
            </w:pPr>
            <w:r>
              <w:rPr>
                <w:rFonts w:ascii="Calibri" w:eastAsia="Calibri" w:hAnsi="Calibri" w:cs="Calibri"/>
                <w:sz w:val="17"/>
                <w:szCs w:val="17"/>
              </w:rPr>
              <w:t>Durée de séjour</w:t>
            </w:r>
          </w:p>
        </w:tc>
        <w:tc>
          <w:tcPr>
            <w:tcW w:w="3705"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09F6D049" w14:textId="77777777" w:rsidR="008F128A" w:rsidRDefault="00000000">
            <w:pPr>
              <w:spacing w:line="250" w:lineRule="auto"/>
            </w:pPr>
            <w:r>
              <w:rPr>
                <w:rFonts w:ascii="Calibri" w:eastAsia="Calibri" w:hAnsi="Calibri" w:cs="Calibri"/>
                <w:sz w:val="17"/>
                <w:szCs w:val="17"/>
              </w:rPr>
              <w:t>Nuits passées à Jacmel</w:t>
            </w:r>
          </w:p>
        </w:tc>
        <w:tc>
          <w:tcPr>
            <w:tcW w:w="21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CA124A2" w14:textId="77777777" w:rsidR="008F128A" w:rsidRDefault="00000000">
            <w:pPr>
              <w:spacing w:line="250" w:lineRule="auto"/>
            </w:pPr>
            <w:r>
              <w:rPr>
                <w:rFonts w:ascii="Calibri" w:eastAsia="Calibri" w:hAnsi="Calibri" w:cs="Calibri"/>
                <w:sz w:val="17"/>
                <w:szCs w:val="17"/>
              </w:rPr>
              <w:t>Questionnaire</w:t>
            </w:r>
          </w:p>
        </w:tc>
        <w:tc>
          <w:tcPr>
            <w:tcW w:w="160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D0749D2" w14:textId="77777777" w:rsidR="008F128A" w:rsidRDefault="00000000">
            <w:pPr>
              <w:spacing w:line="250" w:lineRule="auto"/>
            </w:pPr>
            <w:r>
              <w:rPr>
                <w:rFonts w:ascii="Calibri" w:eastAsia="Calibri" w:hAnsi="Calibri" w:cs="Calibri"/>
                <w:sz w:val="17"/>
                <w:szCs w:val="17"/>
              </w:rPr>
              <w:t>Chaque édition</w:t>
            </w:r>
          </w:p>
        </w:tc>
      </w:tr>
      <w:tr w:rsidR="008F128A" w14:paraId="6D27A916" w14:textId="77777777">
        <w:trPr>
          <w:cantSplit/>
        </w:trPr>
        <w:tc>
          <w:tcPr>
            <w:tcW w:w="20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1033E04" w14:textId="77777777" w:rsidR="008F128A" w:rsidRDefault="00000000">
            <w:pPr>
              <w:spacing w:line="250" w:lineRule="auto"/>
            </w:pPr>
            <w:r>
              <w:rPr>
                <w:rFonts w:ascii="Calibri" w:eastAsia="Calibri" w:hAnsi="Calibri" w:cs="Calibri"/>
                <w:sz w:val="17"/>
                <w:szCs w:val="17"/>
              </w:rPr>
              <w:t>Nuitées et occupation</w:t>
            </w:r>
          </w:p>
        </w:tc>
        <w:tc>
          <w:tcPr>
            <w:tcW w:w="3705"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46EE43D" w14:textId="77777777" w:rsidR="008F128A" w:rsidRDefault="00000000">
            <w:pPr>
              <w:spacing w:line="250" w:lineRule="auto"/>
            </w:pPr>
            <w:r>
              <w:rPr>
                <w:rFonts w:ascii="Calibri" w:eastAsia="Calibri" w:hAnsi="Calibri" w:cs="Calibri"/>
                <w:sz w:val="17"/>
                <w:szCs w:val="17"/>
              </w:rPr>
              <w:t>Nuits vendues, taux d'occupation</w:t>
            </w:r>
          </w:p>
        </w:tc>
        <w:tc>
          <w:tcPr>
            <w:tcW w:w="21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D36C843" w14:textId="77777777" w:rsidR="008F128A" w:rsidRDefault="00000000">
            <w:pPr>
              <w:spacing w:line="250" w:lineRule="auto"/>
            </w:pPr>
            <w:r>
              <w:rPr>
                <w:rFonts w:ascii="Calibri" w:eastAsia="Calibri" w:hAnsi="Calibri" w:cs="Calibri"/>
                <w:sz w:val="17"/>
                <w:szCs w:val="17"/>
              </w:rPr>
              <w:t>Relevé auprès des hôteliers</w:t>
            </w:r>
          </w:p>
        </w:tc>
        <w:tc>
          <w:tcPr>
            <w:tcW w:w="16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9AD6C7C" w14:textId="77777777" w:rsidR="008F128A" w:rsidRDefault="00000000">
            <w:pPr>
              <w:spacing w:line="250" w:lineRule="auto"/>
            </w:pPr>
            <w:r>
              <w:rPr>
                <w:rFonts w:ascii="Calibri" w:eastAsia="Calibri" w:hAnsi="Calibri" w:cs="Calibri"/>
                <w:sz w:val="17"/>
                <w:szCs w:val="17"/>
              </w:rPr>
              <w:t>Chaque édition et hors saison</w:t>
            </w:r>
          </w:p>
        </w:tc>
      </w:tr>
      <w:tr w:rsidR="008F128A" w14:paraId="0C479768" w14:textId="77777777">
        <w:trPr>
          <w:cantSplit/>
        </w:trPr>
        <w:tc>
          <w:tcPr>
            <w:tcW w:w="20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58E9B3E" w14:textId="77777777" w:rsidR="008F128A" w:rsidRDefault="00000000">
            <w:pPr>
              <w:spacing w:line="250" w:lineRule="auto"/>
            </w:pPr>
            <w:r>
              <w:rPr>
                <w:rFonts w:ascii="Calibri" w:eastAsia="Calibri" w:hAnsi="Calibri" w:cs="Calibri"/>
                <w:sz w:val="17"/>
                <w:szCs w:val="17"/>
              </w:rPr>
              <w:t>Dépense par visiteur</w:t>
            </w:r>
          </w:p>
        </w:tc>
        <w:tc>
          <w:tcPr>
            <w:tcW w:w="3705"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AE662BA" w14:textId="77777777" w:rsidR="008F128A" w:rsidRDefault="00000000">
            <w:pPr>
              <w:spacing w:line="250" w:lineRule="auto"/>
            </w:pPr>
            <w:r>
              <w:rPr>
                <w:rFonts w:ascii="Calibri" w:eastAsia="Calibri" w:hAnsi="Calibri" w:cs="Calibri"/>
                <w:sz w:val="17"/>
                <w:szCs w:val="17"/>
              </w:rPr>
              <w:t>Dépense quotidienne par segment et par poste</w:t>
            </w:r>
          </w:p>
        </w:tc>
        <w:tc>
          <w:tcPr>
            <w:tcW w:w="21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366652B" w14:textId="77777777" w:rsidR="008F128A" w:rsidRDefault="00000000">
            <w:pPr>
              <w:spacing w:line="250" w:lineRule="auto"/>
            </w:pPr>
            <w:r>
              <w:rPr>
                <w:rFonts w:ascii="Calibri" w:eastAsia="Calibri" w:hAnsi="Calibri" w:cs="Calibri"/>
                <w:sz w:val="17"/>
                <w:szCs w:val="17"/>
              </w:rPr>
              <w:t>Questionnaire</w:t>
            </w:r>
          </w:p>
        </w:tc>
        <w:tc>
          <w:tcPr>
            <w:tcW w:w="160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A43F62B" w14:textId="77777777" w:rsidR="008F128A" w:rsidRDefault="00000000">
            <w:pPr>
              <w:spacing w:line="250" w:lineRule="auto"/>
            </w:pPr>
            <w:r>
              <w:rPr>
                <w:rFonts w:ascii="Calibri" w:eastAsia="Calibri" w:hAnsi="Calibri" w:cs="Calibri"/>
                <w:sz w:val="17"/>
                <w:szCs w:val="17"/>
              </w:rPr>
              <w:t>Chaque édition</w:t>
            </w:r>
          </w:p>
        </w:tc>
      </w:tr>
      <w:tr w:rsidR="008F128A" w14:paraId="581582CB" w14:textId="77777777">
        <w:trPr>
          <w:cantSplit/>
        </w:trPr>
        <w:tc>
          <w:tcPr>
            <w:tcW w:w="20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18824B5" w14:textId="77777777" w:rsidR="008F128A" w:rsidRDefault="00000000">
            <w:pPr>
              <w:spacing w:line="250" w:lineRule="auto"/>
            </w:pPr>
            <w:r>
              <w:rPr>
                <w:rFonts w:ascii="Calibri" w:eastAsia="Calibri" w:hAnsi="Calibri" w:cs="Calibri"/>
                <w:sz w:val="17"/>
                <w:szCs w:val="17"/>
              </w:rPr>
              <w:t>Coût de l'édition</w:t>
            </w:r>
          </w:p>
        </w:tc>
        <w:tc>
          <w:tcPr>
            <w:tcW w:w="3705"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EF508DF" w14:textId="77777777" w:rsidR="008F128A" w:rsidRDefault="00000000">
            <w:pPr>
              <w:spacing w:line="250" w:lineRule="auto"/>
            </w:pPr>
            <w:r>
              <w:rPr>
                <w:rFonts w:ascii="Calibri" w:eastAsia="Calibri" w:hAnsi="Calibri" w:cs="Calibri"/>
                <w:sz w:val="17"/>
                <w:szCs w:val="17"/>
              </w:rPr>
              <w:t>Dépense par nature (artistique, technique, sanitaire, sécurité, logistique, administration) et par source (public, recettes commerciales, commandites, apports en nature)</w:t>
            </w:r>
          </w:p>
        </w:tc>
        <w:tc>
          <w:tcPr>
            <w:tcW w:w="21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9623A0A" w14:textId="77777777" w:rsidR="008F128A" w:rsidRDefault="00000000">
            <w:pPr>
              <w:spacing w:line="250" w:lineRule="auto"/>
            </w:pPr>
            <w:r>
              <w:rPr>
                <w:rFonts w:ascii="Calibri" w:eastAsia="Calibri" w:hAnsi="Calibri" w:cs="Calibri"/>
                <w:sz w:val="17"/>
                <w:szCs w:val="17"/>
              </w:rPr>
              <w:t>Budget du comité</w:t>
            </w:r>
          </w:p>
        </w:tc>
        <w:tc>
          <w:tcPr>
            <w:tcW w:w="16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859621B" w14:textId="77777777" w:rsidR="008F128A" w:rsidRDefault="00000000">
            <w:pPr>
              <w:spacing w:line="250" w:lineRule="auto"/>
            </w:pPr>
            <w:r>
              <w:rPr>
                <w:rFonts w:ascii="Calibri" w:eastAsia="Calibri" w:hAnsi="Calibri" w:cs="Calibri"/>
                <w:sz w:val="17"/>
                <w:szCs w:val="17"/>
              </w:rPr>
              <w:t>Chaque édition</w:t>
            </w:r>
          </w:p>
        </w:tc>
      </w:tr>
      <w:tr w:rsidR="008F128A" w14:paraId="7C9C03C0" w14:textId="77777777">
        <w:trPr>
          <w:cantSplit/>
        </w:trPr>
        <w:tc>
          <w:tcPr>
            <w:tcW w:w="20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4C478F8B" w14:textId="77777777" w:rsidR="008F128A" w:rsidRDefault="00000000">
            <w:pPr>
              <w:spacing w:line="250" w:lineRule="auto"/>
            </w:pPr>
            <w:r>
              <w:rPr>
                <w:rFonts w:ascii="Calibri" w:eastAsia="Calibri" w:hAnsi="Calibri" w:cs="Calibri"/>
                <w:sz w:val="17"/>
                <w:szCs w:val="17"/>
              </w:rPr>
              <w:t>Part locale de la dépense publique</w:t>
            </w:r>
          </w:p>
        </w:tc>
        <w:tc>
          <w:tcPr>
            <w:tcW w:w="3705"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05AB39D" w14:textId="77777777" w:rsidR="008F128A" w:rsidRDefault="00000000">
            <w:pPr>
              <w:spacing w:line="250" w:lineRule="auto"/>
            </w:pPr>
            <w:r>
              <w:rPr>
                <w:rFonts w:ascii="Calibri" w:eastAsia="Calibri" w:hAnsi="Calibri" w:cs="Calibri"/>
                <w:sz w:val="17"/>
                <w:szCs w:val="17"/>
              </w:rPr>
              <w:t>Part des contrats et achats de l'organisation versée à des entreprises et travailleurs de Jacmel</w:t>
            </w:r>
          </w:p>
        </w:tc>
        <w:tc>
          <w:tcPr>
            <w:tcW w:w="21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62A9925B" w14:textId="77777777" w:rsidR="008F128A" w:rsidRDefault="00000000">
            <w:pPr>
              <w:spacing w:line="250" w:lineRule="auto"/>
            </w:pPr>
            <w:r>
              <w:rPr>
                <w:rFonts w:ascii="Calibri" w:eastAsia="Calibri" w:hAnsi="Calibri" w:cs="Calibri"/>
                <w:sz w:val="17"/>
                <w:szCs w:val="17"/>
              </w:rPr>
              <w:t>Pièces comptables du comité</w:t>
            </w:r>
          </w:p>
        </w:tc>
        <w:tc>
          <w:tcPr>
            <w:tcW w:w="160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E60A4B9" w14:textId="77777777" w:rsidR="008F128A" w:rsidRDefault="00000000">
            <w:pPr>
              <w:spacing w:line="250" w:lineRule="auto"/>
            </w:pPr>
            <w:r>
              <w:rPr>
                <w:rFonts w:ascii="Calibri" w:eastAsia="Calibri" w:hAnsi="Calibri" w:cs="Calibri"/>
                <w:sz w:val="17"/>
                <w:szCs w:val="17"/>
              </w:rPr>
              <w:t>Chaque édition</w:t>
            </w:r>
          </w:p>
        </w:tc>
      </w:tr>
      <w:tr w:rsidR="008F128A" w14:paraId="4BE82275" w14:textId="77777777">
        <w:trPr>
          <w:cantSplit/>
        </w:trPr>
        <w:tc>
          <w:tcPr>
            <w:tcW w:w="20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848E5F3" w14:textId="77777777" w:rsidR="008F128A" w:rsidRDefault="00000000">
            <w:pPr>
              <w:spacing w:line="250" w:lineRule="auto"/>
            </w:pPr>
            <w:r>
              <w:rPr>
                <w:rFonts w:ascii="Calibri" w:eastAsia="Calibri" w:hAnsi="Calibri" w:cs="Calibri"/>
                <w:sz w:val="17"/>
                <w:szCs w:val="17"/>
              </w:rPr>
              <w:t>Emplois et contrats</w:t>
            </w:r>
          </w:p>
        </w:tc>
        <w:tc>
          <w:tcPr>
            <w:tcW w:w="3705"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FAA3EDE" w14:textId="77777777" w:rsidR="008F128A" w:rsidRDefault="00000000">
            <w:pPr>
              <w:spacing w:line="250" w:lineRule="auto"/>
            </w:pPr>
            <w:r>
              <w:rPr>
                <w:rFonts w:ascii="Calibri" w:eastAsia="Calibri" w:hAnsi="Calibri" w:cs="Calibri"/>
                <w:sz w:val="17"/>
                <w:szCs w:val="17"/>
              </w:rPr>
              <w:t>Personnes rémunérées, durée, contrats conclus</w:t>
            </w:r>
          </w:p>
        </w:tc>
        <w:tc>
          <w:tcPr>
            <w:tcW w:w="21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13AAF33" w14:textId="77777777" w:rsidR="008F128A" w:rsidRDefault="00000000">
            <w:pPr>
              <w:spacing w:line="250" w:lineRule="auto"/>
            </w:pPr>
            <w:r>
              <w:rPr>
                <w:rFonts w:ascii="Calibri" w:eastAsia="Calibri" w:hAnsi="Calibri" w:cs="Calibri"/>
                <w:sz w:val="17"/>
                <w:szCs w:val="17"/>
              </w:rPr>
              <w:t>Registre des créateurs et prestataires</w:t>
            </w:r>
          </w:p>
        </w:tc>
        <w:tc>
          <w:tcPr>
            <w:tcW w:w="16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3602E96" w14:textId="77777777" w:rsidR="008F128A" w:rsidRDefault="00000000">
            <w:pPr>
              <w:spacing w:line="250" w:lineRule="auto"/>
            </w:pPr>
            <w:r>
              <w:rPr>
                <w:rFonts w:ascii="Calibri" w:eastAsia="Calibri" w:hAnsi="Calibri" w:cs="Calibri"/>
                <w:sz w:val="17"/>
                <w:szCs w:val="17"/>
              </w:rPr>
              <w:t>Chaque édition</w:t>
            </w:r>
          </w:p>
        </w:tc>
      </w:tr>
      <w:tr w:rsidR="008F128A" w14:paraId="3CCAF0F1" w14:textId="77777777">
        <w:trPr>
          <w:cantSplit/>
        </w:trPr>
        <w:tc>
          <w:tcPr>
            <w:tcW w:w="20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37EC6FC" w14:textId="77777777" w:rsidR="008F128A" w:rsidRDefault="00000000">
            <w:pPr>
              <w:spacing w:line="250" w:lineRule="auto"/>
            </w:pPr>
            <w:r>
              <w:rPr>
                <w:rFonts w:ascii="Calibri" w:eastAsia="Calibri" w:hAnsi="Calibri" w:cs="Calibri"/>
                <w:sz w:val="17"/>
                <w:szCs w:val="17"/>
              </w:rPr>
              <w:t>Producteurs locaux</w:t>
            </w:r>
          </w:p>
        </w:tc>
        <w:tc>
          <w:tcPr>
            <w:tcW w:w="3705"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1A47B47" w14:textId="77777777" w:rsidR="008F128A" w:rsidRDefault="00000000">
            <w:pPr>
              <w:spacing w:line="250" w:lineRule="auto"/>
            </w:pPr>
            <w:r>
              <w:rPr>
                <w:rFonts w:ascii="Calibri" w:eastAsia="Calibri" w:hAnsi="Calibri" w:cs="Calibri"/>
                <w:sz w:val="17"/>
                <w:szCs w:val="17"/>
              </w:rPr>
              <w:t>Part des stands et des ventes tenus par des producteurs jacméliens</w:t>
            </w:r>
          </w:p>
        </w:tc>
        <w:tc>
          <w:tcPr>
            <w:tcW w:w="21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E1A2271" w14:textId="77777777" w:rsidR="008F128A" w:rsidRDefault="00000000">
            <w:pPr>
              <w:spacing w:line="250" w:lineRule="auto"/>
            </w:pPr>
            <w:r>
              <w:rPr>
                <w:rFonts w:ascii="Calibri" w:eastAsia="Calibri" w:hAnsi="Calibri" w:cs="Calibri"/>
                <w:sz w:val="17"/>
                <w:szCs w:val="17"/>
              </w:rPr>
              <w:t>Recensement des espaces commerciaux</w:t>
            </w:r>
          </w:p>
        </w:tc>
        <w:tc>
          <w:tcPr>
            <w:tcW w:w="160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BA8261D" w14:textId="77777777" w:rsidR="008F128A" w:rsidRDefault="00000000">
            <w:pPr>
              <w:spacing w:line="250" w:lineRule="auto"/>
            </w:pPr>
            <w:r>
              <w:rPr>
                <w:rFonts w:ascii="Calibri" w:eastAsia="Calibri" w:hAnsi="Calibri" w:cs="Calibri"/>
                <w:sz w:val="17"/>
                <w:szCs w:val="17"/>
              </w:rPr>
              <w:t>Chaque édition</w:t>
            </w:r>
          </w:p>
        </w:tc>
      </w:tr>
      <w:tr w:rsidR="008F128A" w14:paraId="1887F728" w14:textId="77777777">
        <w:trPr>
          <w:cantSplit/>
        </w:trPr>
        <w:tc>
          <w:tcPr>
            <w:tcW w:w="20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08A0F30" w14:textId="77777777" w:rsidR="008F128A" w:rsidRDefault="00000000">
            <w:pPr>
              <w:spacing w:line="250" w:lineRule="auto"/>
            </w:pPr>
            <w:r>
              <w:rPr>
                <w:rFonts w:ascii="Calibri" w:eastAsia="Calibri" w:hAnsi="Calibri" w:cs="Calibri"/>
                <w:sz w:val="17"/>
                <w:szCs w:val="17"/>
              </w:rPr>
              <w:t>Coûts publics induits</w:t>
            </w:r>
          </w:p>
        </w:tc>
        <w:tc>
          <w:tcPr>
            <w:tcW w:w="3705"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B7582C5" w14:textId="77777777" w:rsidR="008F128A" w:rsidRDefault="00000000">
            <w:pPr>
              <w:spacing w:line="250" w:lineRule="auto"/>
            </w:pPr>
            <w:r>
              <w:rPr>
                <w:rFonts w:ascii="Calibri" w:eastAsia="Calibri" w:hAnsi="Calibri" w:cs="Calibri"/>
                <w:sz w:val="17"/>
                <w:szCs w:val="17"/>
              </w:rPr>
              <w:t>Sécurité, nettoyage, secours, incidents</w:t>
            </w:r>
          </w:p>
        </w:tc>
        <w:tc>
          <w:tcPr>
            <w:tcW w:w="21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626B3B5" w14:textId="77777777" w:rsidR="008F128A" w:rsidRDefault="00000000">
            <w:pPr>
              <w:spacing w:line="250" w:lineRule="auto"/>
            </w:pPr>
            <w:r>
              <w:rPr>
                <w:rFonts w:ascii="Calibri" w:eastAsia="Calibri" w:hAnsi="Calibri" w:cs="Calibri"/>
                <w:sz w:val="17"/>
                <w:szCs w:val="17"/>
              </w:rPr>
              <w:t>Mairie, services concernés</w:t>
            </w:r>
          </w:p>
        </w:tc>
        <w:tc>
          <w:tcPr>
            <w:tcW w:w="16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5C8EF0F" w14:textId="77777777" w:rsidR="008F128A" w:rsidRDefault="00000000">
            <w:pPr>
              <w:spacing w:line="250" w:lineRule="auto"/>
            </w:pPr>
            <w:r>
              <w:rPr>
                <w:rFonts w:ascii="Calibri" w:eastAsia="Calibri" w:hAnsi="Calibri" w:cs="Calibri"/>
                <w:sz w:val="17"/>
                <w:szCs w:val="17"/>
              </w:rPr>
              <w:t>Chaque édition</w:t>
            </w:r>
          </w:p>
        </w:tc>
      </w:tr>
      <w:tr w:rsidR="008F128A" w14:paraId="4AEFF2F2" w14:textId="77777777">
        <w:trPr>
          <w:cantSplit/>
        </w:trPr>
        <w:tc>
          <w:tcPr>
            <w:tcW w:w="20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32171CE" w14:textId="77777777" w:rsidR="008F128A" w:rsidRDefault="00000000">
            <w:pPr>
              <w:spacing w:line="250" w:lineRule="auto"/>
            </w:pPr>
            <w:r>
              <w:rPr>
                <w:rFonts w:ascii="Calibri" w:eastAsia="Calibri" w:hAnsi="Calibri" w:cs="Calibri"/>
                <w:sz w:val="17"/>
                <w:szCs w:val="17"/>
              </w:rPr>
              <w:t>Revenu des ateliers</w:t>
            </w:r>
          </w:p>
        </w:tc>
        <w:tc>
          <w:tcPr>
            <w:tcW w:w="3705"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2517AF20" w14:textId="77777777" w:rsidR="008F128A" w:rsidRDefault="00000000">
            <w:pPr>
              <w:spacing w:line="250" w:lineRule="auto"/>
            </w:pPr>
            <w:r>
              <w:rPr>
                <w:rFonts w:ascii="Calibri" w:eastAsia="Calibri" w:hAnsi="Calibri" w:cs="Calibri"/>
                <w:sz w:val="17"/>
                <w:szCs w:val="17"/>
              </w:rPr>
              <w:t>Revenu annuel et part issue du carnaval</w:t>
            </w:r>
          </w:p>
        </w:tc>
        <w:tc>
          <w:tcPr>
            <w:tcW w:w="21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8A61673" w14:textId="77777777" w:rsidR="008F128A" w:rsidRDefault="00000000">
            <w:pPr>
              <w:spacing w:line="250" w:lineRule="auto"/>
            </w:pPr>
            <w:r>
              <w:rPr>
                <w:rFonts w:ascii="Calibri" w:eastAsia="Calibri" w:hAnsi="Calibri" w:cs="Calibri"/>
                <w:sz w:val="17"/>
                <w:szCs w:val="17"/>
              </w:rPr>
              <w:t>Panel d'ateliers</w:t>
            </w:r>
          </w:p>
        </w:tc>
        <w:tc>
          <w:tcPr>
            <w:tcW w:w="160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6B7F99E" w14:textId="77777777" w:rsidR="008F128A" w:rsidRDefault="00000000">
            <w:pPr>
              <w:spacing w:line="250" w:lineRule="auto"/>
            </w:pPr>
            <w:r>
              <w:rPr>
                <w:rFonts w:ascii="Calibri" w:eastAsia="Calibri" w:hAnsi="Calibri" w:cs="Calibri"/>
                <w:sz w:val="17"/>
                <w:szCs w:val="17"/>
              </w:rPr>
              <w:t>Annuelle</w:t>
            </w:r>
          </w:p>
        </w:tc>
      </w:tr>
      <w:tr w:rsidR="008F128A" w14:paraId="45F946F8" w14:textId="77777777">
        <w:trPr>
          <w:cantSplit/>
        </w:trPr>
        <w:tc>
          <w:tcPr>
            <w:tcW w:w="20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24811DE" w14:textId="77777777" w:rsidR="008F128A" w:rsidRDefault="00000000">
            <w:pPr>
              <w:spacing w:line="250" w:lineRule="auto"/>
            </w:pPr>
            <w:r>
              <w:rPr>
                <w:rFonts w:ascii="Calibri" w:eastAsia="Calibri" w:hAnsi="Calibri" w:cs="Calibri"/>
                <w:sz w:val="17"/>
                <w:szCs w:val="17"/>
              </w:rPr>
              <w:t>Valeur retenue</w:t>
            </w:r>
          </w:p>
        </w:tc>
        <w:tc>
          <w:tcPr>
            <w:tcW w:w="3705"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1E25753" w14:textId="77777777" w:rsidR="008F128A" w:rsidRDefault="00000000">
            <w:pPr>
              <w:spacing w:line="250" w:lineRule="auto"/>
            </w:pPr>
            <w:r>
              <w:rPr>
                <w:rFonts w:ascii="Calibri" w:eastAsia="Calibri" w:hAnsi="Calibri" w:cs="Calibri"/>
                <w:sz w:val="17"/>
                <w:szCs w:val="17"/>
              </w:rPr>
              <w:t>Part de 100 gourdes dépensées demeurant à Jacmel</w:t>
            </w:r>
          </w:p>
        </w:tc>
        <w:tc>
          <w:tcPr>
            <w:tcW w:w="21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33CF7B8" w14:textId="77777777" w:rsidR="008F128A" w:rsidRDefault="00000000">
            <w:pPr>
              <w:spacing w:line="250" w:lineRule="auto"/>
            </w:pPr>
            <w:r>
              <w:rPr>
                <w:rFonts w:ascii="Calibri" w:eastAsia="Calibri" w:hAnsi="Calibri" w:cs="Calibri"/>
                <w:sz w:val="17"/>
                <w:szCs w:val="17"/>
              </w:rPr>
              <w:t>Méthode inspirée du LM3 (Sacks, 2002)</w:t>
            </w:r>
          </w:p>
        </w:tc>
        <w:tc>
          <w:tcPr>
            <w:tcW w:w="16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4F8559E" w14:textId="77777777" w:rsidR="008F128A" w:rsidRDefault="00000000">
            <w:pPr>
              <w:spacing w:line="250" w:lineRule="auto"/>
            </w:pPr>
            <w:r>
              <w:rPr>
                <w:rFonts w:ascii="Calibri" w:eastAsia="Calibri" w:hAnsi="Calibri" w:cs="Calibri"/>
                <w:sz w:val="17"/>
                <w:szCs w:val="17"/>
              </w:rPr>
              <w:t>Pilote en 2027 ; mesure dès 2028</w:t>
            </w:r>
          </w:p>
        </w:tc>
      </w:tr>
    </w:tbl>
    <w:p w14:paraId="07247742" w14:textId="77777777" w:rsidR="008F128A" w:rsidRDefault="00000000">
      <w:pPr>
        <w:pStyle w:val="Source"/>
      </w:pPr>
      <w:r>
        <w:t>Source : proposition CEL, d'après Dessources (V), Jason (V, T) et Jason (2026).</w:t>
      </w:r>
    </w:p>
    <w:p w14:paraId="1CFFC651" w14:textId="77777777" w:rsidR="008F128A" w:rsidRDefault="00000000">
      <w:pPr>
        <w:pStyle w:val="Corpsdetexte"/>
      </w:pPr>
      <w:r>
        <w:t xml:space="preserve">Trois règles encadrent la publication des résultats : la dépense n'est jamais présentée comme un revenu, ni le chiffre d'affaires comme une valeur ajoutée ; la dépense des résidents n'est pas </w:t>
      </w:r>
      <w:r>
        <w:lastRenderedPageBreak/>
        <w:t>comptabilisée comme apport nouveau (Crompton, 2006) ; tout chiffre publié est assorti de sa source et de sa marge d'incertitude. Chaque rapport d'édition répond en outre aux quatre questions formulées par Jason (2026) : combien a-t-on dépensé, combien a-t-on produit, quelle part est demeurée sur le territoire, qu'a-t-on construit pour l'année suivante ?</w:t>
      </w:r>
    </w:p>
    <w:p w14:paraId="1B67D2C4" w14:textId="77777777" w:rsidR="008F128A" w:rsidRDefault="00000000">
      <w:pPr>
        <w:pStyle w:val="Heading2"/>
      </w:pPr>
      <w:bookmarkStart w:id="31" w:name="_Toc241614692"/>
      <w:r>
        <w:t>6.4 Programme expérimental 2027</w:t>
      </w:r>
      <w:bookmarkEnd w:id="31"/>
    </w:p>
    <w:p w14:paraId="790D6BA9" w14:textId="77777777" w:rsidR="008F128A" w:rsidRDefault="00000000">
      <w:pPr>
        <w:pStyle w:val="Corpsdetexte"/>
      </w:pPr>
      <w:r>
        <w:t>Conformément à l'approche PDIA (Andrews et al., 2017), trois expérimentations circonscrites sont proposées, chacune assortie d'une hypothèse, d'une mesure et d'un terme annoncé (tableau 9 et figure 1).</w:t>
      </w:r>
    </w:p>
    <w:p w14:paraId="12E83705" w14:textId="77777777" w:rsidR="008F128A" w:rsidRDefault="00000000">
      <w:pPr>
        <w:pStyle w:val="Lgende"/>
        <w:keepNext/>
      </w:pPr>
      <w:r>
        <w:t>Tableau 9. Expérimentations proposées pour l'édition 2027</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2"/>
        <w:gridCol w:w="3104"/>
        <w:gridCol w:w="1802"/>
        <w:gridCol w:w="1202"/>
        <w:gridCol w:w="1602"/>
      </w:tblGrid>
      <w:tr w:rsidR="008F128A" w14:paraId="40E19260" w14:textId="77777777">
        <w:trPr>
          <w:cantSplit/>
          <w:tblHeader/>
        </w:trPr>
        <w:tc>
          <w:tcPr>
            <w:tcW w:w="170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7193819F" w14:textId="77777777" w:rsidR="008F128A" w:rsidRDefault="00000000">
            <w:pPr>
              <w:spacing w:line="250" w:lineRule="auto"/>
            </w:pPr>
            <w:r>
              <w:rPr>
                <w:rFonts w:ascii="Calibri" w:eastAsia="Calibri" w:hAnsi="Calibri" w:cs="Calibri"/>
                <w:b/>
                <w:bCs/>
                <w:color w:val="FFFFFF"/>
                <w:sz w:val="16"/>
                <w:szCs w:val="16"/>
              </w:rPr>
              <w:t>Expérimentation</w:t>
            </w:r>
          </w:p>
        </w:tc>
        <w:tc>
          <w:tcPr>
            <w:tcW w:w="3104"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42E0A38D" w14:textId="77777777" w:rsidR="008F128A" w:rsidRDefault="00000000">
            <w:pPr>
              <w:spacing w:line="250" w:lineRule="auto"/>
            </w:pPr>
            <w:r>
              <w:rPr>
                <w:rFonts w:ascii="Calibri" w:eastAsia="Calibri" w:hAnsi="Calibri" w:cs="Calibri"/>
                <w:b/>
                <w:bCs/>
                <w:color w:val="FFFFFF"/>
                <w:sz w:val="16"/>
                <w:szCs w:val="16"/>
              </w:rPr>
              <w:t>Hypothèse</w:t>
            </w:r>
          </w:p>
        </w:tc>
        <w:tc>
          <w:tcPr>
            <w:tcW w:w="180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3EEF3C8D" w14:textId="77777777" w:rsidR="008F128A" w:rsidRDefault="00000000">
            <w:pPr>
              <w:spacing w:line="250" w:lineRule="auto"/>
            </w:pPr>
            <w:r>
              <w:rPr>
                <w:rFonts w:ascii="Calibri" w:eastAsia="Calibri" w:hAnsi="Calibri" w:cs="Calibri"/>
                <w:b/>
                <w:bCs/>
                <w:color w:val="FFFFFF"/>
                <w:sz w:val="16"/>
                <w:szCs w:val="16"/>
              </w:rPr>
              <w:t>Mesure</w:t>
            </w:r>
          </w:p>
        </w:tc>
        <w:tc>
          <w:tcPr>
            <w:tcW w:w="120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7AF2CF60" w14:textId="77777777" w:rsidR="008F128A" w:rsidRDefault="00000000">
            <w:pPr>
              <w:spacing w:line="250" w:lineRule="auto"/>
            </w:pPr>
            <w:r>
              <w:rPr>
                <w:rFonts w:ascii="Calibri" w:eastAsia="Calibri" w:hAnsi="Calibri" w:cs="Calibri"/>
                <w:b/>
                <w:bCs/>
                <w:color w:val="FFFFFF"/>
                <w:sz w:val="16"/>
                <w:szCs w:val="16"/>
              </w:rPr>
              <w:t>Garde-fou concerné</w:t>
            </w:r>
          </w:p>
        </w:tc>
        <w:tc>
          <w:tcPr>
            <w:tcW w:w="160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500A9421" w14:textId="77777777" w:rsidR="008F128A" w:rsidRDefault="00000000">
            <w:pPr>
              <w:spacing w:line="250" w:lineRule="auto"/>
            </w:pPr>
            <w:r>
              <w:rPr>
                <w:rFonts w:ascii="Calibri" w:eastAsia="Calibri" w:hAnsi="Calibri" w:cs="Calibri"/>
                <w:b/>
                <w:bCs/>
                <w:color w:val="FFFFFF"/>
                <w:sz w:val="16"/>
                <w:szCs w:val="16"/>
              </w:rPr>
              <w:t>Partenaires</w:t>
            </w:r>
          </w:p>
        </w:tc>
      </w:tr>
      <w:tr w:rsidR="008F128A" w14:paraId="489BD933" w14:textId="77777777">
        <w:trPr>
          <w:cantSplit/>
        </w:trPr>
        <w:tc>
          <w:tcPr>
            <w:tcW w:w="17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8B9454B" w14:textId="77777777" w:rsidR="008F128A" w:rsidRDefault="00000000">
            <w:pPr>
              <w:spacing w:line="250" w:lineRule="auto"/>
            </w:pPr>
            <w:r>
              <w:rPr>
                <w:rFonts w:ascii="Calibri" w:eastAsia="Calibri" w:hAnsi="Calibri" w:cs="Calibri"/>
                <w:sz w:val="16"/>
                <w:szCs w:val="16"/>
              </w:rPr>
              <w:t>E1 · Circuit patrimonial</w:t>
            </w:r>
          </w:p>
        </w:tc>
        <w:tc>
          <w:tcPr>
            <w:tcW w:w="31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6A40E9C" w14:textId="77777777" w:rsidR="008F128A" w:rsidRDefault="00000000">
            <w:pPr>
              <w:spacing w:line="250" w:lineRule="auto"/>
            </w:pPr>
            <w:r>
              <w:rPr>
                <w:rFonts w:ascii="Calibri" w:eastAsia="Calibri" w:hAnsi="Calibri" w:cs="Calibri"/>
                <w:sz w:val="16"/>
                <w:szCs w:val="16"/>
              </w:rPr>
              <w:t>Des visiteurs acquitteront le prix d'un circuit guidé des maisons du café, de la prison coloniale et des ateliers, dès lors que la recette revient aux guides et à l'entretien des sites</w:t>
            </w:r>
          </w:p>
        </w:tc>
        <w:tc>
          <w:tcPr>
            <w:tcW w:w="18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ED151A3" w14:textId="77777777" w:rsidR="008F128A" w:rsidRDefault="00000000">
            <w:pPr>
              <w:spacing w:line="250" w:lineRule="auto"/>
            </w:pPr>
            <w:r>
              <w:rPr>
                <w:rFonts w:ascii="Calibri" w:eastAsia="Calibri" w:hAnsi="Calibri" w:cs="Calibri"/>
                <w:sz w:val="16"/>
                <w:szCs w:val="16"/>
              </w:rPr>
              <w:t>Participants ; prix acquitté ; part reversée</w:t>
            </w:r>
          </w:p>
        </w:tc>
        <w:tc>
          <w:tcPr>
            <w:tcW w:w="12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7F35A151" w14:textId="77777777" w:rsidR="008F128A" w:rsidRDefault="00000000">
            <w:pPr>
              <w:spacing w:line="250" w:lineRule="auto"/>
            </w:pPr>
            <w:r>
              <w:rPr>
                <w:rFonts w:ascii="Calibri" w:eastAsia="Calibri" w:hAnsi="Calibri" w:cs="Calibri"/>
                <w:sz w:val="16"/>
                <w:szCs w:val="16"/>
              </w:rPr>
              <w:t>Bâti</w:t>
            </w:r>
          </w:p>
        </w:tc>
        <w:tc>
          <w:tcPr>
            <w:tcW w:w="16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477AAF17" w14:textId="77777777" w:rsidR="008F128A" w:rsidRDefault="00000000">
            <w:pPr>
              <w:spacing w:line="250" w:lineRule="auto"/>
            </w:pPr>
            <w:r>
              <w:rPr>
                <w:rFonts w:ascii="Calibri" w:eastAsia="Calibri" w:hAnsi="Calibri" w:cs="Calibri"/>
                <w:sz w:val="16"/>
                <w:szCs w:val="16"/>
              </w:rPr>
              <w:t>ISPAN, guides, ateliers</w:t>
            </w:r>
          </w:p>
        </w:tc>
      </w:tr>
      <w:tr w:rsidR="008F128A" w14:paraId="3EE267C6" w14:textId="77777777">
        <w:trPr>
          <w:cantSplit/>
        </w:trPr>
        <w:tc>
          <w:tcPr>
            <w:tcW w:w="17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DE85D2F" w14:textId="77777777" w:rsidR="008F128A" w:rsidRDefault="00000000">
            <w:pPr>
              <w:spacing w:line="250" w:lineRule="auto"/>
            </w:pPr>
            <w:r>
              <w:rPr>
                <w:rFonts w:ascii="Calibri" w:eastAsia="Calibri" w:hAnsi="Calibri" w:cs="Calibri"/>
                <w:sz w:val="16"/>
                <w:szCs w:val="16"/>
              </w:rPr>
              <w:t>E2 · Offre réservable limitée</w:t>
            </w:r>
          </w:p>
        </w:tc>
        <w:tc>
          <w:tcPr>
            <w:tcW w:w="3104"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64B9DE0" w14:textId="77777777" w:rsidR="008F128A" w:rsidRDefault="00000000">
            <w:pPr>
              <w:spacing w:line="250" w:lineRule="auto"/>
            </w:pPr>
            <w:r>
              <w:rPr>
                <w:rFonts w:ascii="Calibri" w:eastAsia="Calibri" w:hAnsi="Calibri" w:cs="Calibri"/>
                <w:sz w:val="16"/>
                <w:szCs w:val="16"/>
              </w:rPr>
              <w:t>Une demande existe pour quelques loges, forfaits de trois nuits et ateliers de papier mâché réservables à l’avance</w:t>
            </w:r>
          </w:p>
        </w:tc>
        <w:tc>
          <w:tcPr>
            <w:tcW w:w="18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4DF4975B" w14:textId="77777777" w:rsidR="008F128A" w:rsidRDefault="00000000">
            <w:pPr>
              <w:spacing w:line="250" w:lineRule="auto"/>
            </w:pPr>
            <w:r>
              <w:rPr>
                <w:rFonts w:ascii="Calibri" w:eastAsia="Calibri" w:hAnsi="Calibri" w:cs="Calibri"/>
                <w:sz w:val="16"/>
                <w:szCs w:val="16"/>
              </w:rPr>
              <w:t>Taux de réservation ; prix accepté ; provenance</w:t>
            </w:r>
          </w:p>
        </w:tc>
        <w:tc>
          <w:tcPr>
            <w:tcW w:w="12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B5F5700" w14:textId="77777777" w:rsidR="008F128A" w:rsidRDefault="00000000">
            <w:pPr>
              <w:spacing w:line="250" w:lineRule="auto"/>
            </w:pPr>
            <w:r>
              <w:rPr>
                <w:rFonts w:ascii="Calibri" w:eastAsia="Calibri" w:hAnsi="Calibri" w:cs="Calibri"/>
                <w:sz w:val="16"/>
                <w:szCs w:val="16"/>
              </w:rPr>
              <w:t>Gratuité</w:t>
            </w:r>
          </w:p>
        </w:tc>
        <w:tc>
          <w:tcPr>
            <w:tcW w:w="16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39965C7" w14:textId="77777777" w:rsidR="008F128A" w:rsidRDefault="00000000">
            <w:pPr>
              <w:spacing w:line="250" w:lineRule="auto"/>
            </w:pPr>
            <w:r>
              <w:rPr>
                <w:rFonts w:ascii="Calibri" w:eastAsia="Calibri" w:hAnsi="Calibri" w:cs="Calibri"/>
                <w:sz w:val="16"/>
                <w:szCs w:val="16"/>
              </w:rPr>
              <w:t>Hôteliers, ateliers, mairie</w:t>
            </w:r>
          </w:p>
        </w:tc>
      </w:tr>
      <w:tr w:rsidR="008F128A" w14:paraId="7BC6567F" w14:textId="77777777">
        <w:trPr>
          <w:cantSplit/>
        </w:trPr>
        <w:tc>
          <w:tcPr>
            <w:tcW w:w="17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EB3E0AA" w14:textId="77777777" w:rsidR="008F128A" w:rsidRDefault="00000000">
            <w:pPr>
              <w:spacing w:line="250" w:lineRule="auto"/>
            </w:pPr>
            <w:r>
              <w:rPr>
                <w:rFonts w:ascii="Calibri" w:eastAsia="Calibri" w:hAnsi="Calibri" w:cs="Calibri"/>
                <w:sz w:val="16"/>
                <w:szCs w:val="16"/>
              </w:rPr>
              <w:t>E3 · Mesure de référence</w:t>
            </w:r>
          </w:p>
        </w:tc>
        <w:tc>
          <w:tcPr>
            <w:tcW w:w="3104"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5BE830C" w14:textId="77777777" w:rsidR="008F128A" w:rsidRDefault="00000000">
            <w:pPr>
              <w:spacing w:line="250" w:lineRule="auto"/>
            </w:pPr>
            <w:r>
              <w:rPr>
                <w:rFonts w:ascii="Calibri" w:eastAsia="Calibri" w:hAnsi="Calibri" w:cs="Calibri"/>
                <w:sz w:val="16"/>
                <w:szCs w:val="16"/>
              </w:rPr>
              <w:t>Les indicateurs du tableau 8 peuvent être collectés au cours d’une seule édition, paiement au point de vente compris</w:t>
            </w:r>
          </w:p>
        </w:tc>
        <w:tc>
          <w:tcPr>
            <w:tcW w:w="18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8B61A0F" w14:textId="77777777" w:rsidR="008F128A" w:rsidRDefault="00000000">
            <w:pPr>
              <w:spacing w:line="250" w:lineRule="auto"/>
            </w:pPr>
            <w:r>
              <w:rPr>
                <w:rFonts w:ascii="Calibri" w:eastAsia="Calibri" w:hAnsi="Calibri" w:cs="Calibri"/>
                <w:sz w:val="16"/>
                <w:szCs w:val="16"/>
              </w:rPr>
              <w:t>Taux de réponse ; couverture des postes</w:t>
            </w:r>
          </w:p>
        </w:tc>
        <w:tc>
          <w:tcPr>
            <w:tcW w:w="12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D127BDB" w14:textId="77777777" w:rsidR="008F128A" w:rsidRDefault="00000000">
            <w:pPr>
              <w:spacing w:line="250" w:lineRule="auto"/>
            </w:pPr>
            <w:r>
              <w:rPr>
                <w:rFonts w:ascii="Calibri" w:eastAsia="Calibri" w:hAnsi="Calibri" w:cs="Calibri"/>
                <w:sz w:val="16"/>
                <w:szCs w:val="16"/>
              </w:rPr>
              <w:t>Sans objet</w:t>
            </w:r>
          </w:p>
        </w:tc>
        <w:tc>
          <w:tcPr>
            <w:tcW w:w="16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9264232" w14:textId="77777777" w:rsidR="008F128A" w:rsidRDefault="00000000">
            <w:pPr>
              <w:spacing w:line="250" w:lineRule="auto"/>
            </w:pPr>
            <w:r>
              <w:rPr>
                <w:rFonts w:ascii="Calibri" w:eastAsia="Calibri" w:hAnsi="Calibri" w:cs="Calibri"/>
                <w:sz w:val="16"/>
                <w:szCs w:val="16"/>
              </w:rPr>
              <w:t>CEL, hôteliers, opérateur de paiement</w:t>
            </w:r>
          </w:p>
        </w:tc>
      </w:tr>
    </w:tbl>
    <w:p w14:paraId="02F13A48" w14:textId="77777777" w:rsidR="008F128A" w:rsidRDefault="00000000">
      <w:pPr>
        <w:pStyle w:val="Source"/>
      </w:pPr>
      <w:r>
        <w:t>Source : proposition CEL. E1 reprend une expérience menée avec l’ISPAN en 2013 selon Rocourt (A), dont le lieu et les résultats restent à établir.</w:t>
      </w:r>
    </w:p>
    <w:p w14:paraId="7B557E18" w14:textId="77777777" w:rsidR="008F128A" w:rsidRDefault="00000000">
      <w:pPr>
        <w:keepNext/>
        <w:spacing w:before="240" w:after="60" w:line="240" w:lineRule="auto"/>
        <w:jc w:val="center"/>
      </w:pPr>
      <w:r>
        <w:rPr>
          <w:noProof/>
        </w:rPr>
        <w:drawing>
          <wp:inline distT="0" distB="0" distL="0" distR="0" wp14:anchorId="3B0AEF68" wp14:editId="2D8F3F8D">
            <wp:extent cx="5715000" cy="2714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2714625"/>
                    </a:xfrm>
                    <a:prstGeom prst="rect">
                      <a:avLst/>
                    </a:prstGeom>
                  </pic:spPr>
                </pic:pic>
              </a:graphicData>
            </a:graphic>
          </wp:inline>
        </w:drawing>
      </w:r>
    </w:p>
    <w:p w14:paraId="19D369CA" w14:textId="77777777" w:rsidR="008F128A" w:rsidRDefault="00000000">
      <w:pPr>
        <w:pStyle w:val="Lgende"/>
        <w:keepNext/>
      </w:pPr>
      <w:r>
        <w:t>Figure 1. Calendrier proposé pour l’édition 2027, octobre 2026 à mars 2027</w:t>
      </w:r>
    </w:p>
    <w:p w14:paraId="5E8E3995" w14:textId="77777777" w:rsidR="008F128A" w:rsidRDefault="00000000">
      <w:pPr>
        <w:pStyle w:val="Source"/>
      </w:pPr>
      <w:r>
        <w:t>Source : proposition CEL. La date du défilé (31 janvier 2027) constitue une hypothèse fondée sur le calendrier de 2026 et demeure subordonnée à la confirmation de la mairie.</w:t>
      </w:r>
    </w:p>
    <w:p w14:paraId="1143E2BF" w14:textId="77777777" w:rsidR="008F128A" w:rsidRDefault="00000000">
      <w:pPr>
        <w:pStyle w:val="Heading1"/>
      </w:pPr>
      <w:bookmarkStart w:id="32" w:name="_Toc241614693"/>
      <w:r>
        <w:lastRenderedPageBreak/>
        <w:t>7. Limites</w:t>
      </w:r>
      <w:bookmarkEnd w:id="32"/>
    </w:p>
    <w:p w14:paraId="745E7627" w14:textId="77777777" w:rsidR="008F128A" w:rsidRDefault="00000000">
      <w:pPr>
        <w:pStyle w:val="Heading2"/>
      </w:pPr>
      <w:bookmarkStart w:id="33" w:name="_Toc241614694"/>
      <w:r>
        <w:t>7.1 Ce que l'étude ne permet pas de conclure</w:t>
      </w:r>
      <w:bookmarkEnd w:id="33"/>
    </w:p>
    <w:p w14:paraId="66E79BEB" w14:textId="77777777" w:rsidR="008F128A" w:rsidRDefault="00000000">
      <w:pPr>
        <w:pStyle w:val="Corpsdetexte"/>
      </w:pPr>
      <w:r>
        <w:t>La présente étude ne permet d'avancer aucun chiffre relatif à la fréquentation, à la dépense, à l'emploi ou à la valeur retenue du carnaval de Jacmel. Elle ne permet pas davantage d'affirmer que les contraintes identifiées sont les plus déterminantes pour les producteurs, les hôteliers ou les commerçants, lesquels ne se sont pas exprimés. Elle n'autorise enfin aucune généralisation au carnaval national ni à d'autres villes.</w:t>
      </w:r>
    </w:p>
    <w:p w14:paraId="5E5579D6" w14:textId="77777777" w:rsidR="008F128A" w:rsidRDefault="00000000">
      <w:pPr>
        <w:pStyle w:val="Heading2"/>
      </w:pPr>
      <w:bookmarkStart w:id="34" w:name="_Toc241614695"/>
      <w:r>
        <w:t>7.2 Biais de sélection</w:t>
      </w:r>
      <w:bookmarkEnd w:id="34"/>
    </w:p>
    <w:p w14:paraId="102FDD10" w14:textId="77777777" w:rsidR="008F128A" w:rsidRDefault="00000000">
      <w:pPr>
        <w:pStyle w:val="Corpsdetexte"/>
      </w:pPr>
      <w:r>
        <w:t>Les onze personnes intervenues ne constituent pas un échantillon représentatif des acteurs du carnaval. Parmi les sept absents figuraient les trois praticiens prévus : production, hébergement et artisanat. Le corpus surreprésente donc les anciens décideurs publics et les spécialistes du patrimoine, ce qui oriente le diagnostic vers les causes institutionnelles (section 5.5).</w:t>
      </w:r>
    </w:p>
    <w:p w14:paraId="17406BE2" w14:textId="77777777" w:rsidR="008F128A" w:rsidRDefault="00000000">
      <w:pPr>
        <w:pStyle w:val="Heading2"/>
      </w:pPr>
      <w:bookmarkStart w:id="35" w:name="_Toc241614696"/>
      <w:r>
        <w:t>7.3 Qualité des sources</w:t>
      </w:r>
      <w:bookmarkEnd w:id="35"/>
    </w:p>
    <w:p w14:paraId="1D777201" w14:textId="73EC4C85" w:rsidR="008F128A" w:rsidRDefault="00000000">
      <w:pPr>
        <w:pStyle w:val="Corpsdetexte"/>
      </w:pPr>
      <w:r>
        <w:t xml:space="preserve">Les transcriptions automatiques restituent imparfaitement le créole haïtien, langue d'une large part des interventions. </w:t>
      </w:r>
    </w:p>
    <w:p w14:paraId="0A5D4CFC" w14:textId="77777777" w:rsidR="008F128A" w:rsidRDefault="00000000">
      <w:pPr>
        <w:pStyle w:val="Heading2"/>
      </w:pPr>
      <w:bookmarkStart w:id="36" w:name="_Toc241614697"/>
      <w:r>
        <w:t>7.4 Statut déclaratif des données</w:t>
      </w:r>
      <w:bookmarkEnd w:id="36"/>
    </w:p>
    <w:p w14:paraId="385F1100" w14:textId="77777777" w:rsidR="008F128A" w:rsidRDefault="00000000">
      <w:pPr>
        <w:pStyle w:val="Corpsdetexte"/>
      </w:pPr>
      <w:r>
        <w:t>Les montants énoncés par les intervenants (annexe B) n'ont pas été rapprochés de pièces comptables. Plusieurs d'entre eux relèvent de l'ordre de grandeur ou de l'exemple pédagogique.</w:t>
      </w:r>
    </w:p>
    <w:p w14:paraId="321C0258" w14:textId="77777777" w:rsidR="008F128A" w:rsidRDefault="00000000">
      <w:pPr>
        <w:pStyle w:val="Heading2"/>
      </w:pPr>
      <w:bookmarkStart w:id="37" w:name="_Toc241614698"/>
      <w:r>
        <w:t>7.5 Positionnement de l'auteur</w:t>
      </w:r>
      <w:bookmarkEnd w:id="37"/>
    </w:p>
    <w:p w14:paraId="7792BF89" w14:textId="77777777" w:rsidR="008F128A" w:rsidRDefault="00000000">
      <w:pPr>
        <w:pStyle w:val="Corpsdetexte"/>
      </w:pPr>
      <w:r>
        <w:t>Le Carnival Economy Lab a organisé la Carnival Economy Week, conçu la grille d'analyse et se propose comme opérateur de l'Observatoire. Ce triple rôle est susceptible d'orienter la sélection des constats vers ceux qui justifient une mesure. La soumission du document aux intervenants et à des relecteurs extérieurs vise à contenir ce biais.</w:t>
      </w:r>
    </w:p>
    <w:p w14:paraId="53CAD53E" w14:textId="77777777" w:rsidR="008F128A" w:rsidRDefault="00000000">
      <w:pPr>
        <w:pStyle w:val="Heading2"/>
      </w:pPr>
      <w:bookmarkStart w:id="38" w:name="_Toc241614699"/>
      <w:r>
        <w:t>7.6 Validation</w:t>
      </w:r>
      <w:bookmarkEnd w:id="38"/>
    </w:p>
    <w:p w14:paraId="276389B6" w14:textId="77777777" w:rsidR="008F128A" w:rsidRDefault="00000000">
      <w:pPr>
        <w:pStyle w:val="Corpsdetexte"/>
      </w:pPr>
      <w:r>
        <w:t>La présente version n'a pas encore été soumise aux intervenants ; les attributions sont susceptibles d'être corrigées.</w:t>
      </w:r>
    </w:p>
    <w:p w14:paraId="30A6CAF5" w14:textId="77777777" w:rsidR="008F128A" w:rsidRDefault="00000000">
      <w:pPr>
        <w:pStyle w:val="Heading1"/>
      </w:pPr>
      <w:bookmarkStart w:id="39" w:name="_Toc241614700"/>
      <w:r>
        <w:t>8. Programme de recherche</w:t>
      </w:r>
      <w:bookmarkEnd w:id="39"/>
    </w:p>
    <w:p w14:paraId="09C4E98E" w14:textId="77777777" w:rsidR="008F128A" w:rsidRDefault="00000000">
      <w:pPr>
        <w:pStyle w:val="Corpsdetexte"/>
      </w:pPr>
      <w:r>
        <w:t>Les sessions 04 et 05 n'ayant pu se tenir, quatre enquêtes complémentaires s'imposent avant l'établissement d'une version 1 (tableau 10). La première revêt un caractère prioritaire : à défaut, les maillons 2 et 7 de la chaîne demeureraient vides.</w:t>
      </w:r>
    </w:p>
    <w:p w14:paraId="6240AA2D" w14:textId="77777777" w:rsidR="008F128A" w:rsidRDefault="00000000">
      <w:pPr>
        <w:pStyle w:val="Lgende"/>
        <w:keepNext/>
      </w:pPr>
      <w:r>
        <w:lastRenderedPageBreak/>
        <w:t>Tableau 10. Enquêtes complémentaires</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2"/>
        <w:gridCol w:w="2703"/>
        <w:gridCol w:w="2103"/>
        <w:gridCol w:w="2203"/>
        <w:gridCol w:w="901"/>
      </w:tblGrid>
      <w:tr w:rsidR="008F128A" w14:paraId="1670FEAA" w14:textId="77777777">
        <w:trPr>
          <w:cantSplit/>
          <w:tblHeader/>
        </w:trPr>
        <w:tc>
          <w:tcPr>
            <w:tcW w:w="1502"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65CD6606" w14:textId="77777777" w:rsidR="008F128A" w:rsidRDefault="00000000">
            <w:pPr>
              <w:spacing w:line="250" w:lineRule="auto"/>
            </w:pPr>
            <w:r>
              <w:rPr>
                <w:rFonts w:ascii="Calibri" w:eastAsia="Calibri" w:hAnsi="Calibri" w:cs="Calibri"/>
                <w:b/>
                <w:bCs/>
                <w:color w:val="FFFFFF"/>
                <w:sz w:val="16"/>
                <w:szCs w:val="16"/>
              </w:rPr>
              <w:t>Enquête</w:t>
            </w:r>
          </w:p>
        </w:tc>
        <w:tc>
          <w:tcPr>
            <w:tcW w:w="27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13CFE0AE" w14:textId="77777777" w:rsidR="008F128A" w:rsidRDefault="00000000">
            <w:pPr>
              <w:spacing w:line="250" w:lineRule="auto"/>
            </w:pPr>
            <w:r>
              <w:rPr>
                <w:rFonts w:ascii="Calibri" w:eastAsia="Calibri" w:hAnsi="Calibri" w:cs="Calibri"/>
                <w:b/>
                <w:bCs/>
                <w:color w:val="FFFFFF"/>
                <w:sz w:val="16"/>
                <w:szCs w:val="16"/>
              </w:rPr>
              <w:t>Question</w:t>
            </w:r>
          </w:p>
        </w:tc>
        <w:tc>
          <w:tcPr>
            <w:tcW w:w="21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28EB274A" w14:textId="77777777" w:rsidR="008F128A" w:rsidRDefault="00000000">
            <w:pPr>
              <w:spacing w:line="250" w:lineRule="auto"/>
            </w:pPr>
            <w:r>
              <w:rPr>
                <w:rFonts w:ascii="Calibri" w:eastAsia="Calibri" w:hAnsi="Calibri" w:cs="Calibri"/>
                <w:b/>
                <w:bCs/>
                <w:color w:val="FFFFFF"/>
                <w:sz w:val="16"/>
                <w:szCs w:val="16"/>
              </w:rPr>
              <w:t>Méthode</w:t>
            </w:r>
          </w:p>
        </w:tc>
        <w:tc>
          <w:tcPr>
            <w:tcW w:w="2203"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604EFE93" w14:textId="77777777" w:rsidR="008F128A" w:rsidRDefault="00000000">
            <w:pPr>
              <w:spacing w:line="250" w:lineRule="auto"/>
            </w:pPr>
            <w:r>
              <w:rPr>
                <w:rFonts w:ascii="Calibri" w:eastAsia="Calibri" w:hAnsi="Calibri" w:cs="Calibri"/>
                <w:b/>
                <w:bCs/>
                <w:color w:val="FFFFFF"/>
                <w:sz w:val="16"/>
                <w:szCs w:val="16"/>
              </w:rPr>
              <w:t>Interlocuteurs pressentis</w:t>
            </w:r>
          </w:p>
        </w:tc>
        <w:tc>
          <w:tcPr>
            <w:tcW w:w="901" w:type="dxa"/>
            <w:tcBorders>
              <w:top w:val="single" w:sz="4" w:space="0" w:color="B9B2D6"/>
              <w:left w:val="none" w:sz="0" w:space="0" w:color="FFFFFF"/>
              <w:bottom w:val="single" w:sz="4" w:space="0" w:color="B9B2D6"/>
              <w:right w:val="none" w:sz="0" w:space="0" w:color="FFFFFF"/>
            </w:tcBorders>
            <w:shd w:val="clear" w:color="auto" w:fill="3502A8"/>
            <w:tcMar>
              <w:top w:w="60" w:type="dxa"/>
              <w:left w:w="90" w:type="dxa"/>
              <w:bottom w:w="60" w:type="dxa"/>
              <w:right w:w="90" w:type="dxa"/>
            </w:tcMar>
          </w:tcPr>
          <w:p w14:paraId="51892C30" w14:textId="77777777" w:rsidR="008F128A" w:rsidRDefault="00000000">
            <w:pPr>
              <w:spacing w:line="250" w:lineRule="auto"/>
            </w:pPr>
            <w:r>
              <w:rPr>
                <w:rFonts w:ascii="Calibri" w:eastAsia="Calibri" w:hAnsi="Calibri" w:cs="Calibri"/>
                <w:b/>
                <w:bCs/>
                <w:color w:val="FFFFFF"/>
                <w:sz w:val="16"/>
                <w:szCs w:val="16"/>
              </w:rPr>
              <w:t>Maillons</w:t>
            </w:r>
          </w:p>
        </w:tc>
      </w:tr>
      <w:tr w:rsidR="008F128A" w14:paraId="44571C6B" w14:textId="77777777">
        <w:trPr>
          <w:cantSplit/>
        </w:trPr>
        <w:tc>
          <w:tcPr>
            <w:tcW w:w="15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07E66F57" w14:textId="77777777" w:rsidR="008F128A" w:rsidRDefault="00000000">
            <w:pPr>
              <w:spacing w:line="250" w:lineRule="auto"/>
            </w:pPr>
            <w:r>
              <w:rPr>
                <w:rFonts w:ascii="Calibri" w:eastAsia="Calibri" w:hAnsi="Calibri" w:cs="Calibri"/>
                <w:sz w:val="16"/>
                <w:szCs w:val="16"/>
              </w:rPr>
              <w:t>P1 · Production</w:t>
            </w:r>
          </w:p>
        </w:tc>
        <w:tc>
          <w:tcPr>
            <w:tcW w:w="27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E4A1D32" w14:textId="77777777" w:rsidR="008F128A" w:rsidRDefault="00000000">
            <w:pPr>
              <w:spacing w:line="250" w:lineRule="auto"/>
            </w:pPr>
            <w:r>
              <w:rPr>
                <w:rFonts w:ascii="Calibri" w:eastAsia="Calibri" w:hAnsi="Calibri" w:cs="Calibri"/>
                <w:sz w:val="16"/>
                <w:szCs w:val="16"/>
              </w:rPr>
              <w:t>Que coûte un masque, qui l'acquiert, quel revenu annuel un atelier en tire-t-il ?</w:t>
            </w:r>
          </w:p>
        </w:tc>
        <w:tc>
          <w:tcPr>
            <w:tcW w:w="21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6C4ED0AB" w14:textId="77777777" w:rsidR="008F128A" w:rsidRDefault="00000000">
            <w:pPr>
              <w:spacing w:line="250" w:lineRule="auto"/>
            </w:pPr>
            <w:r>
              <w:rPr>
                <w:rFonts w:ascii="Calibri" w:eastAsia="Calibri" w:hAnsi="Calibri" w:cs="Calibri"/>
                <w:sz w:val="16"/>
                <w:szCs w:val="16"/>
              </w:rPr>
              <w:t>Entretiens semi-directifs auprès de cinq à huit ateliers de papier mâché</w:t>
            </w:r>
          </w:p>
        </w:tc>
        <w:tc>
          <w:tcPr>
            <w:tcW w:w="22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6A8113B" w14:textId="77777777" w:rsidR="008F128A" w:rsidRDefault="00000000">
            <w:pPr>
              <w:spacing w:line="250" w:lineRule="auto"/>
            </w:pPr>
            <w:r>
              <w:rPr>
                <w:rFonts w:ascii="Calibri" w:eastAsia="Calibri" w:hAnsi="Calibri" w:cs="Calibri"/>
                <w:sz w:val="16"/>
                <w:szCs w:val="16"/>
              </w:rPr>
              <w:t>Émilien Blaise, Vady Confident, écoles d'artisans</w:t>
            </w:r>
          </w:p>
        </w:tc>
        <w:tc>
          <w:tcPr>
            <w:tcW w:w="9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8A9C77F" w14:textId="77777777" w:rsidR="008F128A" w:rsidRDefault="00000000">
            <w:pPr>
              <w:spacing w:line="250" w:lineRule="auto"/>
            </w:pPr>
            <w:r>
              <w:rPr>
                <w:rFonts w:ascii="Calibri" w:eastAsia="Calibri" w:hAnsi="Calibri" w:cs="Calibri"/>
                <w:sz w:val="16"/>
                <w:szCs w:val="16"/>
              </w:rPr>
              <w:t>2, 7</w:t>
            </w:r>
          </w:p>
        </w:tc>
      </w:tr>
      <w:tr w:rsidR="008F128A" w14:paraId="01D9AA87" w14:textId="77777777">
        <w:trPr>
          <w:cantSplit/>
        </w:trPr>
        <w:tc>
          <w:tcPr>
            <w:tcW w:w="15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CEA0112" w14:textId="77777777" w:rsidR="008F128A" w:rsidRDefault="00000000">
            <w:pPr>
              <w:spacing w:line="250" w:lineRule="auto"/>
            </w:pPr>
            <w:r>
              <w:rPr>
                <w:rFonts w:ascii="Calibri" w:eastAsia="Calibri" w:hAnsi="Calibri" w:cs="Calibri"/>
                <w:sz w:val="16"/>
                <w:szCs w:val="16"/>
              </w:rPr>
              <w:t>P2 · Hébergement</w:t>
            </w:r>
          </w:p>
        </w:tc>
        <w:tc>
          <w:tcPr>
            <w:tcW w:w="27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8380554" w14:textId="77777777" w:rsidR="008F128A" w:rsidRDefault="00000000">
            <w:pPr>
              <w:spacing w:line="250" w:lineRule="auto"/>
            </w:pPr>
            <w:r>
              <w:rPr>
                <w:rFonts w:ascii="Calibri" w:eastAsia="Calibri" w:hAnsi="Calibri" w:cs="Calibri"/>
                <w:sz w:val="16"/>
                <w:szCs w:val="16"/>
              </w:rPr>
              <w:t>Quelle capacité, quelle occupation pendant et hors carnaval ?</w:t>
            </w:r>
          </w:p>
        </w:tc>
        <w:tc>
          <w:tcPr>
            <w:tcW w:w="21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8312FAC" w14:textId="77777777" w:rsidR="008F128A" w:rsidRDefault="00000000">
            <w:pPr>
              <w:spacing w:line="250" w:lineRule="auto"/>
            </w:pPr>
            <w:r>
              <w:rPr>
                <w:rFonts w:ascii="Calibri" w:eastAsia="Calibri" w:hAnsi="Calibri" w:cs="Calibri"/>
                <w:sz w:val="16"/>
                <w:szCs w:val="16"/>
              </w:rPr>
              <w:t>Entretiens ; relevé des nuitées</w:t>
            </w:r>
          </w:p>
        </w:tc>
        <w:tc>
          <w:tcPr>
            <w:tcW w:w="22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1FEB040" w14:textId="77777777" w:rsidR="008F128A" w:rsidRDefault="00000000">
            <w:pPr>
              <w:spacing w:line="250" w:lineRule="auto"/>
            </w:pPr>
            <w:r>
              <w:rPr>
                <w:rFonts w:ascii="Calibri" w:eastAsia="Calibri" w:hAnsi="Calibri" w:cs="Calibri"/>
                <w:sz w:val="16"/>
                <w:szCs w:val="16"/>
              </w:rPr>
              <w:t>Jean Christophe Lang, hôteliers de Jacmel</w:t>
            </w:r>
          </w:p>
        </w:tc>
        <w:tc>
          <w:tcPr>
            <w:tcW w:w="90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32BC6E21" w14:textId="77777777" w:rsidR="008F128A" w:rsidRDefault="00000000">
            <w:pPr>
              <w:spacing w:line="250" w:lineRule="auto"/>
            </w:pPr>
            <w:r>
              <w:rPr>
                <w:rFonts w:ascii="Calibri" w:eastAsia="Calibri" w:hAnsi="Calibri" w:cs="Calibri"/>
                <w:sz w:val="16"/>
                <w:szCs w:val="16"/>
              </w:rPr>
              <w:t>5</w:t>
            </w:r>
          </w:p>
        </w:tc>
      </w:tr>
      <w:tr w:rsidR="008F128A" w14:paraId="5905F429" w14:textId="77777777">
        <w:trPr>
          <w:cantSplit/>
        </w:trPr>
        <w:tc>
          <w:tcPr>
            <w:tcW w:w="1502"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166FBBE9" w14:textId="77777777" w:rsidR="008F128A" w:rsidRDefault="00000000">
            <w:pPr>
              <w:spacing w:line="250" w:lineRule="auto"/>
            </w:pPr>
            <w:r>
              <w:rPr>
                <w:rFonts w:ascii="Calibri" w:eastAsia="Calibri" w:hAnsi="Calibri" w:cs="Calibri"/>
                <w:sz w:val="16"/>
                <w:szCs w:val="16"/>
              </w:rPr>
              <w:t>P3 · Marché</w:t>
            </w:r>
          </w:p>
        </w:tc>
        <w:tc>
          <w:tcPr>
            <w:tcW w:w="27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7889C55" w14:textId="77777777" w:rsidR="008F128A" w:rsidRDefault="00000000">
            <w:pPr>
              <w:spacing w:line="250" w:lineRule="auto"/>
            </w:pPr>
            <w:r>
              <w:rPr>
                <w:rFonts w:ascii="Calibri" w:eastAsia="Calibri" w:hAnsi="Calibri" w:cs="Calibri"/>
                <w:sz w:val="16"/>
                <w:szCs w:val="16"/>
              </w:rPr>
              <w:t>Est-il possible de venir, de réserver et de payer ?</w:t>
            </w:r>
          </w:p>
        </w:tc>
        <w:tc>
          <w:tcPr>
            <w:tcW w:w="21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2EE24CAF" w14:textId="77777777" w:rsidR="008F128A" w:rsidRDefault="00000000">
            <w:pPr>
              <w:spacing w:line="250" w:lineRule="auto"/>
            </w:pPr>
            <w:r>
              <w:rPr>
                <w:rFonts w:ascii="Calibri" w:eastAsia="Calibri" w:hAnsi="Calibri" w:cs="Calibri"/>
                <w:sz w:val="16"/>
                <w:szCs w:val="16"/>
              </w:rPr>
              <w:t>Entretiens bilatéraux</w:t>
            </w:r>
          </w:p>
        </w:tc>
        <w:tc>
          <w:tcPr>
            <w:tcW w:w="2203"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3AA4AD51" w14:textId="77777777" w:rsidR="008F128A" w:rsidRDefault="00000000">
            <w:pPr>
              <w:spacing w:line="250" w:lineRule="auto"/>
            </w:pPr>
            <w:r>
              <w:rPr>
                <w:rFonts w:ascii="Calibri" w:eastAsia="Calibri" w:hAnsi="Calibri" w:cs="Calibri"/>
                <w:sz w:val="16"/>
                <w:szCs w:val="16"/>
              </w:rPr>
              <w:t>MCI, Sunrise Airways, MonCash, Roodjino Cherilus</w:t>
            </w:r>
          </w:p>
        </w:tc>
        <w:tc>
          <w:tcPr>
            <w:tcW w:w="901" w:type="dxa"/>
            <w:tcBorders>
              <w:top w:val="single" w:sz="4" w:space="0" w:color="B9B2D6"/>
              <w:left w:val="none" w:sz="0" w:space="0" w:color="FFFFFF"/>
              <w:bottom w:val="single" w:sz="4" w:space="0" w:color="B9B2D6"/>
              <w:right w:val="none" w:sz="0" w:space="0" w:color="FFFFFF"/>
            </w:tcBorders>
            <w:tcMar>
              <w:top w:w="60" w:type="dxa"/>
              <w:left w:w="90" w:type="dxa"/>
              <w:bottom w:w="60" w:type="dxa"/>
              <w:right w:w="90" w:type="dxa"/>
            </w:tcMar>
          </w:tcPr>
          <w:p w14:paraId="5A99CACD" w14:textId="77777777" w:rsidR="008F128A" w:rsidRDefault="00000000">
            <w:pPr>
              <w:spacing w:line="250" w:lineRule="auto"/>
            </w:pPr>
            <w:r>
              <w:rPr>
                <w:rFonts w:ascii="Calibri" w:eastAsia="Calibri" w:hAnsi="Calibri" w:cs="Calibri"/>
                <w:sz w:val="16"/>
                <w:szCs w:val="16"/>
              </w:rPr>
              <w:t>4, 6</w:t>
            </w:r>
          </w:p>
        </w:tc>
      </w:tr>
      <w:tr w:rsidR="008F128A" w14:paraId="6B4F63BF" w14:textId="77777777">
        <w:trPr>
          <w:cantSplit/>
        </w:trPr>
        <w:tc>
          <w:tcPr>
            <w:tcW w:w="1502"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474B2FE" w14:textId="77777777" w:rsidR="008F128A" w:rsidRDefault="00000000">
            <w:pPr>
              <w:spacing w:line="250" w:lineRule="auto"/>
            </w:pPr>
            <w:r>
              <w:rPr>
                <w:rFonts w:ascii="Calibri" w:eastAsia="Calibri" w:hAnsi="Calibri" w:cs="Calibri"/>
                <w:sz w:val="16"/>
                <w:szCs w:val="16"/>
              </w:rPr>
              <w:t>P4 · Perception</w:t>
            </w:r>
          </w:p>
        </w:tc>
        <w:tc>
          <w:tcPr>
            <w:tcW w:w="27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1C039BE8" w14:textId="77777777" w:rsidR="008F128A" w:rsidRDefault="00000000">
            <w:pPr>
              <w:spacing w:line="250" w:lineRule="auto"/>
            </w:pPr>
            <w:r>
              <w:rPr>
                <w:rFonts w:ascii="Calibri" w:eastAsia="Calibri" w:hAnsi="Calibri" w:cs="Calibri"/>
                <w:sz w:val="16"/>
                <w:szCs w:val="16"/>
              </w:rPr>
              <w:t>Comment la diaspora et les visiteurs étrangers perçoivent-ils Jacmel ?</w:t>
            </w:r>
          </w:p>
        </w:tc>
        <w:tc>
          <w:tcPr>
            <w:tcW w:w="21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180E0C2" w14:textId="77777777" w:rsidR="008F128A" w:rsidRDefault="00000000">
            <w:pPr>
              <w:spacing w:line="250" w:lineRule="auto"/>
            </w:pPr>
            <w:r>
              <w:rPr>
                <w:rFonts w:ascii="Calibri" w:eastAsia="Calibri" w:hAnsi="Calibri" w:cs="Calibri"/>
                <w:sz w:val="16"/>
                <w:szCs w:val="16"/>
              </w:rPr>
              <w:t>Entretiens ; questionnaire auprès de la diaspora</w:t>
            </w:r>
          </w:p>
        </w:tc>
        <w:tc>
          <w:tcPr>
            <w:tcW w:w="2203"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583B4545" w14:textId="77777777" w:rsidR="008F128A" w:rsidRDefault="00000000">
            <w:pPr>
              <w:spacing w:line="250" w:lineRule="auto"/>
            </w:pPr>
            <w:r>
              <w:rPr>
                <w:rFonts w:ascii="Calibri" w:eastAsia="Calibri" w:hAnsi="Calibri" w:cs="Calibri"/>
                <w:sz w:val="16"/>
                <w:szCs w:val="16"/>
              </w:rPr>
              <w:t>Collinx Mondésir, Samuel Dameus</w:t>
            </w:r>
          </w:p>
        </w:tc>
        <w:tc>
          <w:tcPr>
            <w:tcW w:w="901" w:type="dxa"/>
            <w:tcBorders>
              <w:top w:val="single" w:sz="4" w:space="0" w:color="B9B2D6"/>
              <w:left w:val="none" w:sz="0" w:space="0" w:color="FFFFFF"/>
              <w:bottom w:val="single" w:sz="4" w:space="0" w:color="B9B2D6"/>
              <w:right w:val="none" w:sz="0" w:space="0" w:color="FFFFFF"/>
            </w:tcBorders>
            <w:shd w:val="clear" w:color="auto" w:fill="F7F5FC"/>
            <w:tcMar>
              <w:top w:w="60" w:type="dxa"/>
              <w:left w:w="90" w:type="dxa"/>
              <w:bottom w:w="60" w:type="dxa"/>
              <w:right w:w="90" w:type="dxa"/>
            </w:tcMar>
          </w:tcPr>
          <w:p w14:paraId="74DD5D40" w14:textId="77777777" w:rsidR="008F128A" w:rsidRDefault="00000000">
            <w:pPr>
              <w:spacing w:line="250" w:lineRule="auto"/>
            </w:pPr>
            <w:r>
              <w:rPr>
                <w:rFonts w:ascii="Calibri" w:eastAsia="Calibri" w:hAnsi="Calibri" w:cs="Calibri"/>
                <w:sz w:val="16"/>
                <w:szCs w:val="16"/>
              </w:rPr>
              <w:t>5</w:t>
            </w:r>
          </w:p>
        </w:tc>
      </w:tr>
    </w:tbl>
    <w:p w14:paraId="5FB28E32" w14:textId="77777777" w:rsidR="008F128A" w:rsidRDefault="00000000">
      <w:pPr>
        <w:pStyle w:val="Source"/>
      </w:pPr>
      <w:r>
        <w:t>Source : proposition CEL.</w:t>
      </w:r>
    </w:p>
    <w:p w14:paraId="6005FF16" w14:textId="77777777" w:rsidR="008F128A" w:rsidRDefault="00000000">
      <w:pPr>
        <w:pStyle w:val="Corpsdetexte"/>
      </w:pPr>
      <w:r>
        <w:t>Deux sources documentaires appellent par ailleurs une exploitation : le fonds personnel de Jean Elie Gilles, qu'il estime à quelque 20 000 photographies et documents (A), et le budget détaillé d'une édition récente, qui permettrait d'éprouver l'indicateur de part locale de la dépense publique. Les instruments de collecte (guides d'entretien, questionnaire) seront reproduits en annexe de la version 1.</w:t>
      </w:r>
    </w:p>
    <w:p w14:paraId="6117D08C" w14:textId="77777777" w:rsidR="008F128A" w:rsidRDefault="00000000">
      <w:r>
        <w:br w:type="page"/>
      </w:r>
    </w:p>
    <w:p w14:paraId="69A877BA" w14:textId="77777777" w:rsidR="008F128A" w:rsidRDefault="00000000">
      <w:pPr>
        <w:pStyle w:val="Heading1"/>
      </w:pPr>
      <w:bookmarkStart w:id="40" w:name="_Toc241614701"/>
      <w:r>
        <w:lastRenderedPageBreak/>
        <w:t>Références</w:t>
      </w:r>
      <w:bookmarkEnd w:id="40"/>
    </w:p>
    <w:p w14:paraId="7F0617D9" w14:textId="77777777" w:rsidR="008F128A" w:rsidRDefault="00000000">
      <w:pPr>
        <w:pStyle w:val="Corpsdetexte"/>
      </w:pPr>
      <w:r>
        <w:t>Norme bibliographique : APA, 7e édition.</w:t>
      </w:r>
    </w:p>
    <w:p w14:paraId="27CDD4A6" w14:textId="77777777" w:rsidR="008F128A" w:rsidRDefault="00000000">
      <w:pPr>
        <w:pStyle w:val="Heading3"/>
      </w:pPr>
      <w:r>
        <w:t>Sources primaires</w:t>
      </w:r>
    </w:p>
    <w:p w14:paraId="1E639EAD" w14:textId="77777777" w:rsidR="008F128A" w:rsidRDefault="00000000">
      <w:pPr>
        <w:pStyle w:val="Bibliographie"/>
      </w:pPr>
      <w:r>
        <w:t xml:space="preserve">Carnival Economy Lab. (2026). </w:t>
      </w:r>
      <w:r>
        <w:rPr>
          <w:i/>
          <w:iCs/>
        </w:rPr>
        <w:t>Carnival Economy Week 2026 : enregistrements des sessions 01, 02 et 03</w:t>
      </w:r>
      <w:r>
        <w:t xml:space="preserve"> [Enregistrements vidéo, 24-26 septembre 2026]. Archives du Carnival Economy Lab, communicables sur demande.</w:t>
      </w:r>
    </w:p>
    <w:p w14:paraId="6ECB196D" w14:textId="77777777" w:rsidR="008F128A" w:rsidRDefault="00000000">
      <w:pPr>
        <w:pStyle w:val="Bibliographie"/>
      </w:pPr>
      <w:r>
        <w:t xml:space="preserve">Jason, M. J.-Y. (2026). </w:t>
      </w:r>
      <w:r>
        <w:rPr>
          <w:i/>
          <w:iCs/>
        </w:rPr>
        <w:t>Derrière le défilé : le carnaval comme économie, ingénierie et projet de ville</w:t>
      </w:r>
      <w:r>
        <w:t xml:space="preserve"> [Texte d'intervention, Carnival Economy Week 2026, 24 septembre 2026]. Archives du Carnival Economy Lab.</w:t>
      </w:r>
    </w:p>
    <w:p w14:paraId="009B6EDA" w14:textId="77777777" w:rsidR="008F128A" w:rsidRDefault="00000000">
      <w:pPr>
        <w:pStyle w:val="Heading3"/>
      </w:pPr>
      <w:r>
        <w:t>Littérature</w:t>
      </w:r>
    </w:p>
    <w:p w14:paraId="65F8453C" w14:textId="77777777" w:rsidR="008F128A" w:rsidRDefault="00000000">
      <w:pPr>
        <w:pStyle w:val="Bibliographie"/>
      </w:pPr>
      <w:r>
        <w:t xml:space="preserve">Andrews, M., Pritchett, L., et Woolcock, M. (2017). </w:t>
      </w:r>
      <w:r>
        <w:rPr>
          <w:i/>
          <w:iCs/>
        </w:rPr>
        <w:t>Building state capability: Evidence, analysis, action</w:t>
      </w:r>
      <w:r>
        <w:t>. Oxford University Press.</w:t>
      </w:r>
    </w:p>
    <w:p w14:paraId="0084F6CD" w14:textId="77777777" w:rsidR="008F128A" w:rsidRDefault="00000000">
      <w:pPr>
        <w:pStyle w:val="Bibliographie"/>
      </w:pPr>
      <w:r>
        <w:t xml:space="preserve">Cohen, E. (1988). Authenticity and commoditization in tourism. </w:t>
      </w:r>
      <w:r>
        <w:rPr>
          <w:i/>
          <w:iCs/>
        </w:rPr>
        <w:t>Annals of Tourism Research, 15</w:t>
      </w:r>
      <w:r>
        <w:t>(3), 371-386.</w:t>
      </w:r>
    </w:p>
    <w:p w14:paraId="07FCD9E9" w14:textId="77777777" w:rsidR="008F128A" w:rsidRDefault="00000000">
      <w:pPr>
        <w:pStyle w:val="Bibliographie"/>
      </w:pPr>
      <w:r>
        <w:t xml:space="preserve">Crompton, J. L. (2006). Economic impact studies: Instruments for political shenanigans? </w:t>
      </w:r>
      <w:r>
        <w:rPr>
          <w:i/>
          <w:iCs/>
        </w:rPr>
        <w:t>Journal of Travel Research, 45</w:t>
      </w:r>
      <w:r>
        <w:t>(1), 67-82.</w:t>
      </w:r>
    </w:p>
    <w:p w14:paraId="0A408568" w14:textId="77777777" w:rsidR="008F128A" w:rsidRDefault="00000000">
      <w:pPr>
        <w:pStyle w:val="Bibliographie"/>
      </w:pPr>
      <w:r>
        <w:t xml:space="preserve">Gereffi, G., Humphrey, J., et Sturgeon, T. (2005). The governance of global value chains. </w:t>
      </w:r>
      <w:r>
        <w:rPr>
          <w:i/>
          <w:iCs/>
        </w:rPr>
        <w:t>Review of International Political Economy, 12</w:t>
      </w:r>
      <w:r>
        <w:t>(1), 78-104.</w:t>
      </w:r>
    </w:p>
    <w:p w14:paraId="684AA9E1" w14:textId="77777777" w:rsidR="008F128A" w:rsidRDefault="00000000">
      <w:pPr>
        <w:pStyle w:val="Bibliographie"/>
      </w:pPr>
      <w:r>
        <w:t xml:space="preserve">Greenwood, D. J. (1977). Culture by the pound: An anthropological perspective on tourism as cultural commoditization. Dans V. L. Smith (dir.), </w:t>
      </w:r>
      <w:r>
        <w:rPr>
          <w:i/>
          <w:iCs/>
        </w:rPr>
        <w:t>Hosts and guests: The anthropology of tourism</w:t>
      </w:r>
      <w:r>
        <w:t xml:space="preserve"> (p. 129-138). University of Pennsylvania Press.</w:t>
      </w:r>
    </w:p>
    <w:p w14:paraId="1363FCB0" w14:textId="77777777" w:rsidR="008F128A" w:rsidRDefault="00000000">
      <w:pPr>
        <w:pStyle w:val="Bibliographie"/>
      </w:pPr>
      <w:r>
        <w:t xml:space="preserve">Mitchell, J., et Ashley, C. (2010). </w:t>
      </w:r>
      <w:r>
        <w:rPr>
          <w:i/>
          <w:iCs/>
        </w:rPr>
        <w:t>Tourism and poverty reduction: Pathways to prosperity</w:t>
      </w:r>
      <w:r>
        <w:t>. Earthscan.</w:t>
      </w:r>
    </w:p>
    <w:p w14:paraId="7DE1A2EE" w14:textId="77777777" w:rsidR="008F128A" w:rsidRDefault="00000000">
      <w:pPr>
        <w:pStyle w:val="Bibliographie"/>
      </w:pPr>
      <w:r>
        <w:t xml:space="preserve">Sacks, J. (2002). </w:t>
      </w:r>
      <w:r>
        <w:rPr>
          <w:i/>
          <w:iCs/>
        </w:rPr>
        <w:t>The money trail: Measuring your impact on the local economy using LM3</w:t>
      </w:r>
      <w:r>
        <w:t>. New Economics Foundation.</w:t>
      </w:r>
    </w:p>
    <w:p w14:paraId="5434911A" w14:textId="77777777" w:rsidR="008F128A" w:rsidRDefault="00000000">
      <w:pPr>
        <w:pStyle w:val="Bibliographie"/>
      </w:pPr>
      <w:r>
        <w:t xml:space="preserve">Springfield Centre. (2015). </w:t>
      </w:r>
      <w:r>
        <w:rPr>
          <w:i/>
          <w:iCs/>
        </w:rPr>
        <w:t>The operational guide for the making markets work for the poor (M4P) approach</w:t>
      </w:r>
      <w:r>
        <w:t xml:space="preserve"> (2e éd.). SDC et DFID.</w:t>
      </w:r>
    </w:p>
    <w:p w14:paraId="7FAF6A08" w14:textId="77777777" w:rsidR="008F128A" w:rsidRDefault="00000000">
      <w:pPr>
        <w:pStyle w:val="Bibliographie"/>
      </w:pPr>
      <w:r>
        <w:t xml:space="preserve">Throsby, D. (2001). </w:t>
      </w:r>
      <w:r>
        <w:rPr>
          <w:i/>
          <w:iCs/>
        </w:rPr>
        <w:t>Economics and culture</w:t>
      </w:r>
      <w:r>
        <w:t>. Cambridge University Press.</w:t>
      </w:r>
    </w:p>
    <w:p w14:paraId="0783C213" w14:textId="77777777" w:rsidR="008F128A" w:rsidRDefault="00000000">
      <w:pPr>
        <w:pStyle w:val="Bibliographie"/>
      </w:pPr>
      <w:r>
        <w:t xml:space="preserve">Institut de statistique de l'UNESCO. (2009). </w:t>
      </w:r>
      <w:r>
        <w:rPr>
          <w:i/>
          <w:iCs/>
        </w:rPr>
        <w:t>Cadre de l'UNESCO pour les statistiques culturelles 2009</w:t>
      </w:r>
      <w:r>
        <w:t>. UNESCO.</w:t>
      </w:r>
    </w:p>
    <w:p w14:paraId="2A6CFAF2" w14:textId="77777777" w:rsidR="008F128A" w:rsidRDefault="00000000">
      <w:r>
        <w:br w:type="page"/>
      </w:r>
    </w:p>
    <w:sectPr w:rsidR="008F128A">
      <w:headerReference w:type="default" r:id="rId10"/>
      <w:footerReference w:type="default" r:id="rId11"/>
      <w:pgSz w:w="11906" w:h="16838"/>
      <w:pgMar w:top="1418" w:right="1247" w:bottom="1418" w:left="1247"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AA28ED" w14:textId="77777777" w:rsidR="007B557A" w:rsidRDefault="007B557A">
      <w:pPr>
        <w:spacing w:line="240" w:lineRule="auto"/>
      </w:pPr>
      <w:r>
        <w:separator/>
      </w:r>
    </w:p>
  </w:endnote>
  <w:endnote w:type="continuationSeparator" w:id="0">
    <w:p w14:paraId="67A00C98" w14:textId="77777777" w:rsidR="007B557A" w:rsidRDefault="007B55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BDE87" w14:textId="77777777" w:rsidR="008F128A" w:rsidRDefault="008F128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95EC52" w14:textId="77777777" w:rsidR="008F128A" w:rsidRDefault="00000000">
    <w:pPr>
      <w:jc w:val="center"/>
    </w:pPr>
    <w:r>
      <w:rPr>
        <w:rFonts w:ascii="Calibri" w:eastAsia="Calibri" w:hAnsi="Calibri" w:cs="Calibri"/>
        <w:color w:val="5F5F6B"/>
        <w:sz w:val="18"/>
        <w:szCs w:val="18"/>
      </w:rPr>
      <w:fldChar w:fldCharType="begin"/>
    </w:r>
    <w:r>
      <w:rPr>
        <w:rFonts w:ascii="Calibri" w:eastAsia="Calibri" w:hAnsi="Calibri" w:cs="Calibri"/>
        <w:color w:val="5F5F6B"/>
        <w:sz w:val="18"/>
        <w:szCs w:val="18"/>
      </w:rPr>
      <w:instrText>PAGE</w:instrText>
    </w:r>
    <w:r>
      <w:rPr>
        <w:rFonts w:ascii="Calibri" w:eastAsia="Calibri" w:hAnsi="Calibri" w:cs="Calibri"/>
        <w:color w:val="5F5F6B"/>
        <w:sz w:val="18"/>
        <w:szCs w:val="18"/>
      </w:rPr>
      <w:fldChar w:fldCharType="separate"/>
    </w:r>
    <w:r w:rsidR="00F122A7">
      <w:rPr>
        <w:rFonts w:ascii="Calibri" w:eastAsia="Calibri" w:hAnsi="Calibri" w:cs="Calibri"/>
        <w:noProof/>
        <w:color w:val="5F5F6B"/>
        <w:sz w:val="18"/>
        <w:szCs w:val="18"/>
      </w:rPr>
      <w:t>2</w:t>
    </w:r>
    <w:r w:rsidR="00F122A7">
      <w:rPr>
        <w:rFonts w:ascii="Calibri" w:eastAsia="Calibri" w:hAnsi="Calibri" w:cs="Calibri"/>
        <w:noProof/>
        <w:color w:val="5F5F6B"/>
        <w:sz w:val="18"/>
        <w:szCs w:val="18"/>
      </w:rPr>
      <w:t>7</w:t>
    </w:r>
    <w:r>
      <w:rPr>
        <w:rFonts w:ascii="Calibri" w:eastAsia="Calibri" w:hAnsi="Calibri" w:cs="Calibri"/>
        <w:color w:val="5F5F6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B81670" w14:textId="77777777" w:rsidR="007B557A" w:rsidRDefault="007B557A">
      <w:pPr>
        <w:spacing w:line="240" w:lineRule="auto"/>
      </w:pPr>
      <w:r>
        <w:separator/>
      </w:r>
    </w:p>
  </w:footnote>
  <w:footnote w:type="continuationSeparator" w:id="0">
    <w:p w14:paraId="6886CC62" w14:textId="77777777" w:rsidR="007B557A" w:rsidRDefault="007B55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2212A" w14:textId="77777777" w:rsidR="008F128A" w:rsidRDefault="008F12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BEAF9D" w14:textId="77777777" w:rsidR="008F128A" w:rsidRDefault="00000000">
    <w:pPr>
      <w:pBdr>
        <w:bottom w:val="single" w:sz="4" w:space="4" w:color="B9B2D6"/>
      </w:pBdr>
      <w:tabs>
        <w:tab w:val="right" w:pos="9412"/>
      </w:tabs>
    </w:pPr>
    <w:r>
      <w:rPr>
        <w:rFonts w:ascii="Calibri" w:eastAsia="Calibri" w:hAnsi="Calibri" w:cs="Calibri"/>
        <w:color w:val="5F5F6B"/>
        <w:sz w:val="16"/>
        <w:szCs w:val="16"/>
      </w:rPr>
      <w:t>CEL-BP-001 · Document de travail v0.1</w:t>
    </w:r>
    <w:r>
      <w:rPr>
        <w:rFonts w:ascii="Calibri" w:eastAsia="Calibri" w:hAnsi="Calibri" w:cs="Calibri"/>
        <w:i/>
        <w:iCs/>
        <w:color w:val="5F5F6B"/>
        <w:sz w:val="16"/>
        <w:szCs w:val="16"/>
      </w:rPr>
      <w:tab/>
      <w:t>L'économie derrière le défilé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0859BF"/>
    <w:multiLevelType w:val="hybridMultilevel"/>
    <w:tmpl w:val="681A3B34"/>
    <w:lvl w:ilvl="0" w:tplc="B406D00E">
      <w:start w:val="1"/>
      <w:numFmt w:val="bullet"/>
      <w:lvlText w:val="●"/>
      <w:lvlJc w:val="left"/>
      <w:pPr>
        <w:ind w:left="720" w:hanging="360"/>
      </w:pPr>
    </w:lvl>
    <w:lvl w:ilvl="1" w:tplc="5A028832">
      <w:start w:val="1"/>
      <w:numFmt w:val="bullet"/>
      <w:lvlText w:val="○"/>
      <w:lvlJc w:val="left"/>
      <w:pPr>
        <w:ind w:left="1440" w:hanging="360"/>
      </w:pPr>
    </w:lvl>
    <w:lvl w:ilvl="2" w:tplc="5EA0AE5E">
      <w:start w:val="1"/>
      <w:numFmt w:val="bullet"/>
      <w:lvlText w:val="■"/>
      <w:lvlJc w:val="left"/>
      <w:pPr>
        <w:ind w:left="2160" w:hanging="360"/>
      </w:pPr>
    </w:lvl>
    <w:lvl w:ilvl="3" w:tplc="E41E044A">
      <w:start w:val="1"/>
      <w:numFmt w:val="bullet"/>
      <w:lvlText w:val="●"/>
      <w:lvlJc w:val="left"/>
      <w:pPr>
        <w:ind w:left="2880" w:hanging="360"/>
      </w:pPr>
    </w:lvl>
    <w:lvl w:ilvl="4" w:tplc="D7B03ABE">
      <w:start w:val="1"/>
      <w:numFmt w:val="bullet"/>
      <w:lvlText w:val="○"/>
      <w:lvlJc w:val="left"/>
      <w:pPr>
        <w:ind w:left="3600" w:hanging="360"/>
      </w:pPr>
    </w:lvl>
    <w:lvl w:ilvl="5" w:tplc="E938C826">
      <w:start w:val="1"/>
      <w:numFmt w:val="bullet"/>
      <w:lvlText w:val="■"/>
      <w:lvlJc w:val="left"/>
      <w:pPr>
        <w:ind w:left="4320" w:hanging="360"/>
      </w:pPr>
    </w:lvl>
    <w:lvl w:ilvl="6" w:tplc="DB0E4450">
      <w:start w:val="1"/>
      <w:numFmt w:val="bullet"/>
      <w:lvlText w:val="●"/>
      <w:lvlJc w:val="left"/>
      <w:pPr>
        <w:ind w:left="5040" w:hanging="360"/>
      </w:pPr>
    </w:lvl>
    <w:lvl w:ilvl="7" w:tplc="31501BB6">
      <w:start w:val="1"/>
      <w:numFmt w:val="bullet"/>
      <w:lvlText w:val="●"/>
      <w:lvlJc w:val="left"/>
      <w:pPr>
        <w:ind w:left="5760" w:hanging="360"/>
      </w:pPr>
    </w:lvl>
    <w:lvl w:ilvl="8" w:tplc="63E483E8">
      <w:start w:val="1"/>
      <w:numFmt w:val="bullet"/>
      <w:lvlText w:val="●"/>
      <w:lvlJc w:val="left"/>
      <w:pPr>
        <w:ind w:left="6480" w:hanging="360"/>
      </w:pPr>
    </w:lvl>
  </w:abstractNum>
  <w:abstractNum w:abstractNumId="1" w15:restartNumberingAfterBreak="0">
    <w:nsid w:val="6AD079AC"/>
    <w:multiLevelType w:val="hybridMultilevel"/>
    <w:tmpl w:val="09A2DF22"/>
    <w:lvl w:ilvl="0" w:tplc="A6EC4938">
      <w:start w:val="1"/>
      <w:numFmt w:val="decimal"/>
      <w:lvlText w:val="%1."/>
      <w:lvlJc w:val="left"/>
      <w:pPr>
        <w:ind w:left="567" w:hanging="340"/>
      </w:pPr>
    </w:lvl>
    <w:lvl w:ilvl="1" w:tplc="5AC6EEB8">
      <w:numFmt w:val="decimal"/>
      <w:lvlText w:val=""/>
      <w:lvlJc w:val="left"/>
    </w:lvl>
    <w:lvl w:ilvl="2" w:tplc="8AD6CDB8">
      <w:numFmt w:val="decimal"/>
      <w:lvlText w:val=""/>
      <w:lvlJc w:val="left"/>
    </w:lvl>
    <w:lvl w:ilvl="3" w:tplc="AF12F14E">
      <w:numFmt w:val="decimal"/>
      <w:lvlText w:val=""/>
      <w:lvlJc w:val="left"/>
    </w:lvl>
    <w:lvl w:ilvl="4" w:tplc="DDF0D64C">
      <w:numFmt w:val="decimal"/>
      <w:lvlText w:val=""/>
      <w:lvlJc w:val="left"/>
    </w:lvl>
    <w:lvl w:ilvl="5" w:tplc="CF602554">
      <w:numFmt w:val="decimal"/>
      <w:lvlText w:val=""/>
      <w:lvlJc w:val="left"/>
    </w:lvl>
    <w:lvl w:ilvl="6" w:tplc="8CDAED02">
      <w:numFmt w:val="decimal"/>
      <w:lvlText w:val=""/>
      <w:lvlJc w:val="left"/>
    </w:lvl>
    <w:lvl w:ilvl="7" w:tplc="F1BEC46C">
      <w:numFmt w:val="decimal"/>
      <w:lvlText w:val=""/>
      <w:lvlJc w:val="left"/>
    </w:lvl>
    <w:lvl w:ilvl="8" w:tplc="F1A60FBE">
      <w:numFmt w:val="decimal"/>
      <w:lvlText w:val=""/>
      <w:lvlJc w:val="left"/>
    </w:lvl>
  </w:abstractNum>
  <w:num w:numId="1" w16cid:durableId="1547176068">
    <w:abstractNumId w:val="0"/>
    <w:lvlOverride w:ilvl="0">
      <w:startOverride w:val="1"/>
    </w:lvlOverride>
  </w:num>
  <w:num w:numId="2" w16cid:durableId="94504234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28A"/>
    <w:rsid w:val="00020ECB"/>
    <w:rsid w:val="001F6B2B"/>
    <w:rsid w:val="003214C1"/>
    <w:rsid w:val="007B557A"/>
    <w:rsid w:val="00803746"/>
    <w:rsid w:val="008F128A"/>
    <w:rsid w:val="00F122A7"/>
  </w:rsids>
  <m:mathPr>
    <m:mathFont m:val="Cambria Math"/>
    <m:brkBin m:val="before"/>
    <m:brkBinSub m:val="--"/>
    <m:smallFrac m:val="0"/>
    <m:dispDef/>
    <m:lMargin m:val="0"/>
    <m:rMargin m:val="0"/>
    <m:defJc m:val="centerGroup"/>
    <m:wrapIndent m:val="1440"/>
    <m:intLim m:val="subSup"/>
    <m:naryLim m:val="undOvr"/>
  </m:mathPr>
  <w:themeFontLang w:val="en-HT"/>
  <w:clrSchemeMapping w:bg1="light1" w:t1="dark1" w:bg2="light2" w:t2="dark2" w:accent1="accent1" w:accent2="accent2" w:accent3="accent3" w:accent4="accent4" w:accent5="accent5" w:accent6="accent6" w:hyperlink="hyperlink" w:followedHyperlink="followedHyperlink"/>
  <w:decimalSymbol w:val="."/>
  <w:listSeparator w:val=","/>
  <w14:docId w14:val="24D7FAF5"/>
  <w15:docId w15:val="{8A44BB89-293A-B445-8A2A-9BCBDE7C5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color w:val="1F1F24"/>
        <w:sz w:val="22"/>
        <w:szCs w:val="22"/>
        <w:lang w:val="en-HT" w:eastAsia="en-US"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Corpsdetexte"/>
    <w:uiPriority w:val="9"/>
    <w:qFormat/>
    <w:pPr>
      <w:keepNext/>
      <w:spacing w:before="480" w:after="200"/>
      <w:outlineLvl w:val="0"/>
    </w:pPr>
    <w:rPr>
      <w:rFonts w:ascii="Calibri" w:eastAsia="Calibri" w:hAnsi="Calibri" w:cs="Calibri"/>
      <w:b/>
      <w:bCs/>
      <w:color w:val="3502A8"/>
      <w:sz w:val="32"/>
      <w:szCs w:val="32"/>
    </w:rPr>
  </w:style>
  <w:style w:type="paragraph" w:styleId="Heading2">
    <w:name w:val="heading 2"/>
    <w:next w:val="Corpsdetexte"/>
    <w:uiPriority w:val="9"/>
    <w:unhideWhenUsed/>
    <w:qFormat/>
    <w:pPr>
      <w:keepNext/>
      <w:spacing w:before="300" w:after="120"/>
      <w:outlineLvl w:val="1"/>
    </w:pPr>
    <w:rPr>
      <w:rFonts w:ascii="Calibri" w:eastAsia="Calibri" w:hAnsi="Calibri" w:cs="Calibri"/>
      <w:b/>
      <w:bCs/>
      <w:sz w:val="24"/>
      <w:szCs w:val="24"/>
    </w:rPr>
  </w:style>
  <w:style w:type="paragraph" w:styleId="Heading3">
    <w:name w:val="heading 3"/>
    <w:next w:val="Corpsdetexte"/>
    <w:uiPriority w:val="9"/>
    <w:unhideWhenUsed/>
    <w:qFormat/>
    <w:pPr>
      <w:keepNext/>
      <w:spacing w:before="240" w:after="100"/>
      <w:outlineLvl w:val="2"/>
    </w:pPr>
    <w:rPr>
      <w:rFonts w:ascii="Calibri" w:eastAsia="Calibri" w:hAnsi="Calibri" w:cs="Calibri"/>
      <w:b/>
      <w:bCs/>
      <w:color w:val="5F5F6B"/>
      <w:sz w:val="21"/>
      <w:szCs w:val="21"/>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Corpsdetexte">
    <w:name w:val="Corps de texte"/>
    <w:qFormat/>
    <w:pPr>
      <w:spacing w:after="160"/>
      <w:jc w:val="both"/>
    </w:pPr>
  </w:style>
  <w:style w:type="paragraph" w:customStyle="1" w:styleId="Lgende">
    <w:name w:val="Légende"/>
    <w:qFormat/>
    <w:pPr>
      <w:spacing w:before="240" w:after="100"/>
    </w:pPr>
    <w:rPr>
      <w:rFonts w:ascii="Calibri" w:eastAsia="Calibri" w:hAnsi="Calibri" w:cs="Calibri"/>
      <w:b/>
      <w:bCs/>
      <w:color w:val="3502A8"/>
      <w:sz w:val="19"/>
      <w:szCs w:val="19"/>
    </w:rPr>
  </w:style>
  <w:style w:type="paragraph" w:customStyle="1" w:styleId="Source">
    <w:name w:val="Source"/>
    <w:qFormat/>
    <w:pPr>
      <w:spacing w:before="80" w:after="240" w:line="240" w:lineRule="auto"/>
    </w:pPr>
    <w:rPr>
      <w:rFonts w:ascii="Calibri" w:eastAsia="Calibri" w:hAnsi="Calibri" w:cs="Calibri"/>
      <w:i/>
      <w:iCs/>
      <w:color w:val="5F5F6B"/>
      <w:sz w:val="16"/>
      <w:szCs w:val="16"/>
    </w:rPr>
  </w:style>
  <w:style w:type="paragraph" w:customStyle="1" w:styleId="Bibliographie">
    <w:name w:val="Bibliographie"/>
    <w:qFormat/>
    <w:pPr>
      <w:spacing w:after="120" w:line="264" w:lineRule="auto"/>
      <w:ind w:left="567" w:hanging="567"/>
    </w:pPr>
    <w:rPr>
      <w:sz w:val="20"/>
      <w:szCs w:val="20"/>
    </w:rPr>
  </w:style>
  <w:style w:type="paragraph" w:customStyle="1" w:styleId="Titreliminaire">
    <w:name w:val="Titre liminaire"/>
    <w:pPr>
      <w:spacing w:before="240" w:after="240"/>
    </w:pPr>
    <w:rPr>
      <w:rFonts w:ascii="Calibri" w:eastAsia="Calibri" w:hAnsi="Calibri" w:cs="Calibri"/>
      <w:b/>
      <w:bCs/>
      <w:color w:val="3502A8"/>
      <w:sz w:val="32"/>
      <w:szCs w:val="32"/>
    </w:rPr>
  </w:style>
  <w:style w:type="paragraph" w:styleId="TOC1">
    <w:name w:val="toc 1"/>
    <w:basedOn w:val="Normal"/>
    <w:next w:val="Normal"/>
    <w:autoRedefine/>
    <w:uiPriority w:val="39"/>
    <w:unhideWhenUsed/>
    <w:rsid w:val="00F122A7"/>
    <w:pPr>
      <w:spacing w:after="100"/>
    </w:pPr>
  </w:style>
  <w:style w:type="paragraph" w:styleId="TOC2">
    <w:name w:val="toc 2"/>
    <w:basedOn w:val="Normal"/>
    <w:next w:val="Normal"/>
    <w:autoRedefine/>
    <w:uiPriority w:val="39"/>
    <w:unhideWhenUsed/>
    <w:rsid w:val="00F122A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19</Pages>
  <Words>5638</Words>
  <Characters>32143</Characters>
  <Application>Microsoft Office Word</Application>
  <DocSecurity>0</DocSecurity>
  <Lines>267</Lines>
  <Paragraphs>75</Paragraphs>
  <ScaleCrop>false</ScaleCrop>
  <Company/>
  <LinksUpToDate>false</LinksUpToDate>
  <CharactersWithSpaces>37706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L'économie derrière le défilé</dc:title>
  <dc:creator>Carnival Economy Lab</dc:creator>
  <dc:description>CEL-BP-001, document de travail, version 0.1</dc:description>
  <cp:lastModifiedBy>Fridjy Compere</cp:lastModifiedBy>
  <cp:revision>3</cp:revision>
  <dcterms:created xsi:type="dcterms:W3CDTF">2026-09-30T02:33:00Z</dcterms:created>
  <dcterms:modified xsi:type="dcterms:W3CDTF">2026-09-30T03:04:00Z</dcterms:modified>
</cp:coreProperties>
</file>